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14" w:rsidRPr="00B7762C" w:rsidRDefault="00713788" w:rsidP="00A50BD3">
      <w:pPr>
        <w:pStyle w:val="a7"/>
        <w:suppressAutoHyphens w:val="0"/>
        <w:ind w:left="709"/>
        <w:jc w:val="center"/>
        <w:rPr>
          <w:rFonts w:ascii="Times New Roman" w:eastAsia="Times New Roman" w:hAnsi="Times New Roman" w:cs="Times New Roman"/>
          <w:b/>
          <w:bCs/>
          <w:color w:val="000000"/>
          <w:sz w:val="28"/>
          <w:szCs w:val="28"/>
          <w:lang w:val="ru-RU" w:eastAsia="zh-CN"/>
        </w:rPr>
      </w:pPr>
      <w:r w:rsidRPr="00A50BD3">
        <w:rPr>
          <w:rFonts w:ascii="Times New Roman" w:eastAsia="Times New Roman" w:hAnsi="Times New Roman" w:cs="Times New Roman"/>
          <w:b/>
          <w:bCs/>
          <w:color w:val="000000"/>
          <w:sz w:val="28"/>
          <w:szCs w:val="28"/>
          <w:lang w:val="bg-BG" w:eastAsia="zh-CN"/>
        </w:rPr>
        <w:t>ТЕХНИЧЕСКА СПЕЦИФИКАЦИЯ</w:t>
      </w:r>
    </w:p>
    <w:p w:rsidR="00713788" w:rsidRPr="00B7762C" w:rsidRDefault="00713788" w:rsidP="00713788">
      <w:pPr>
        <w:widowControl w:val="0"/>
        <w:shd w:val="clear" w:color="auto" w:fill="FFFFFF"/>
        <w:tabs>
          <w:tab w:val="left" w:pos="-3261"/>
          <w:tab w:val="left" w:pos="-3119"/>
        </w:tabs>
        <w:suppressAutoHyphens w:val="0"/>
        <w:autoSpaceDE w:val="0"/>
        <w:autoSpaceDN w:val="0"/>
        <w:adjustRightInd w:val="0"/>
        <w:ind w:firstLine="540"/>
        <w:jc w:val="both"/>
        <w:rPr>
          <w:color w:val="000000"/>
          <w:spacing w:val="-2"/>
          <w:lang w:val="ru-RU" w:eastAsia="bg-BG"/>
        </w:rPr>
      </w:pPr>
    </w:p>
    <w:p w:rsidR="00713788" w:rsidRDefault="00713788" w:rsidP="00713788">
      <w:pPr>
        <w:widowControl w:val="0"/>
        <w:shd w:val="clear" w:color="auto" w:fill="FFFFFF"/>
        <w:tabs>
          <w:tab w:val="left" w:pos="-3261"/>
          <w:tab w:val="left" w:pos="-3119"/>
        </w:tabs>
        <w:suppressAutoHyphens w:val="0"/>
        <w:autoSpaceDE w:val="0"/>
        <w:autoSpaceDN w:val="0"/>
        <w:adjustRightInd w:val="0"/>
        <w:ind w:firstLine="540"/>
        <w:jc w:val="both"/>
        <w:rPr>
          <w:color w:val="000000"/>
          <w:spacing w:val="-2"/>
          <w:lang w:eastAsia="bg-BG"/>
        </w:rPr>
      </w:pPr>
      <w:r w:rsidRPr="00713788">
        <w:rPr>
          <w:color w:val="000000"/>
          <w:spacing w:val="-2"/>
          <w:lang w:eastAsia="bg-BG"/>
        </w:rPr>
        <w:t>Техническата спецификация е неделима част от Документацията за участие</w:t>
      </w:r>
      <w:r w:rsidRPr="00713788">
        <w:rPr>
          <w:color w:val="000000"/>
          <w:spacing w:val="4"/>
          <w:lang w:eastAsia="bg-BG"/>
        </w:rPr>
        <w:t xml:space="preserve">. </w:t>
      </w:r>
      <w:r w:rsidRPr="00713788">
        <w:rPr>
          <w:color w:val="000000"/>
          <w:spacing w:val="-1"/>
          <w:lang w:eastAsia="bg-BG"/>
        </w:rPr>
        <w:t xml:space="preserve">Спецификацията е предназначена да поясни и развие изискванията по изпълнение на </w:t>
      </w:r>
      <w:r w:rsidRPr="00713788">
        <w:rPr>
          <w:color w:val="000000"/>
          <w:spacing w:val="-2"/>
          <w:lang w:eastAsia="bg-BG"/>
        </w:rPr>
        <w:t>дейностите</w:t>
      </w:r>
      <w:r w:rsidR="009D0493">
        <w:rPr>
          <w:color w:val="000000"/>
          <w:spacing w:val="-2"/>
          <w:lang w:eastAsia="bg-BG"/>
        </w:rPr>
        <w:t>, които са предмет на договора.</w:t>
      </w:r>
    </w:p>
    <w:p w:rsidR="009D0493" w:rsidRPr="004C4315" w:rsidRDefault="009D0493" w:rsidP="009D0493">
      <w:pPr>
        <w:autoSpaceDE w:val="0"/>
        <w:autoSpaceDN w:val="0"/>
        <w:adjustRightInd w:val="0"/>
        <w:spacing w:before="240"/>
        <w:jc w:val="both"/>
      </w:pPr>
      <w:r w:rsidRPr="004C4315">
        <w:t>Изпълнителят следва да осигури на Възложителя услуга по прогнозиране на потребление, изготвяне на почасови графици, администриране на информационния поток към ЕСО ЕАД, както и отговорност по балансиране.</w:t>
      </w:r>
    </w:p>
    <w:p w:rsidR="00713788" w:rsidRPr="00A50BD3" w:rsidRDefault="00713788" w:rsidP="00A50BD3">
      <w:pPr>
        <w:pStyle w:val="a7"/>
        <w:numPr>
          <w:ilvl w:val="0"/>
          <w:numId w:val="4"/>
        </w:numPr>
        <w:tabs>
          <w:tab w:val="left" w:pos="851"/>
        </w:tabs>
        <w:suppressAutoHyphens w:val="0"/>
        <w:spacing w:before="240"/>
        <w:ind w:left="0" w:firstLine="567"/>
        <w:rPr>
          <w:rFonts w:ascii="Times New Roman" w:eastAsia="Times New Roman" w:hAnsi="Times New Roman" w:cs="Times New Roman"/>
          <w:b/>
          <w:bCs/>
          <w:color w:val="000000"/>
          <w:sz w:val="24"/>
          <w:szCs w:val="24"/>
          <w:lang w:val="bg-BG" w:eastAsia="en-US"/>
        </w:rPr>
      </w:pPr>
      <w:r w:rsidRPr="00A50BD3">
        <w:rPr>
          <w:rFonts w:ascii="Times New Roman" w:eastAsia="Times New Roman" w:hAnsi="Times New Roman" w:cs="Times New Roman"/>
          <w:b/>
          <w:bCs/>
          <w:color w:val="000000"/>
          <w:sz w:val="24"/>
          <w:szCs w:val="24"/>
          <w:lang w:val="bg-BG" w:eastAsia="en-US"/>
        </w:rPr>
        <w:t>Прогнозно количество.</w:t>
      </w:r>
    </w:p>
    <w:p w:rsidR="00894A8B" w:rsidRPr="00BD688C" w:rsidRDefault="00894A8B" w:rsidP="00BD688C">
      <w:pPr>
        <w:pStyle w:val="a8"/>
        <w:numPr>
          <w:ilvl w:val="1"/>
          <w:numId w:val="4"/>
        </w:numPr>
        <w:tabs>
          <w:tab w:val="left" w:pos="1080"/>
        </w:tabs>
        <w:ind w:left="0" w:firstLine="567"/>
        <w:jc w:val="both"/>
        <w:rPr>
          <w:b/>
          <w:bCs/>
        </w:rPr>
      </w:pPr>
      <w:r w:rsidRPr="00894A8B">
        <w:rPr>
          <w:b/>
          <w:bCs/>
        </w:rPr>
        <w:t xml:space="preserve"> </w:t>
      </w:r>
      <w:r w:rsidR="00001F97" w:rsidRPr="007A64B4">
        <w:rPr>
          <w:b/>
          <w:bCs/>
        </w:rPr>
        <w:t xml:space="preserve">Месечното потребление на електрическа енергия за </w:t>
      </w:r>
      <w:r w:rsidR="00BD688C" w:rsidRPr="00BD688C">
        <w:rPr>
          <w:b/>
          <w:bCs/>
        </w:rPr>
        <w:t>период</w:t>
      </w:r>
      <w:r w:rsidR="00BD688C">
        <w:rPr>
          <w:b/>
          <w:bCs/>
        </w:rPr>
        <w:t>а</w:t>
      </w:r>
      <w:r w:rsidR="00BD688C" w:rsidRPr="00BD688C">
        <w:rPr>
          <w:b/>
          <w:bCs/>
        </w:rPr>
        <w:t xml:space="preserve"> </w:t>
      </w:r>
      <w:r w:rsidR="004F1672">
        <w:rPr>
          <w:b/>
          <w:bCs/>
        </w:rPr>
        <w:t xml:space="preserve">м. </w:t>
      </w:r>
      <w:r w:rsidR="002772A8">
        <w:rPr>
          <w:b/>
          <w:bCs/>
        </w:rPr>
        <w:t>октом</w:t>
      </w:r>
      <w:r w:rsidR="005A703A">
        <w:rPr>
          <w:b/>
          <w:bCs/>
        </w:rPr>
        <w:t xml:space="preserve">ври </w:t>
      </w:r>
      <w:r w:rsidR="004F1672">
        <w:rPr>
          <w:b/>
          <w:bCs/>
        </w:rPr>
        <w:t xml:space="preserve">                             </w:t>
      </w:r>
      <w:r w:rsidR="00BD688C" w:rsidRPr="00BD688C">
        <w:rPr>
          <w:b/>
          <w:bCs/>
        </w:rPr>
        <w:t>201</w:t>
      </w:r>
      <w:r w:rsidR="004F1672">
        <w:rPr>
          <w:b/>
          <w:bCs/>
        </w:rPr>
        <w:t>8</w:t>
      </w:r>
      <w:r w:rsidR="00BD688C" w:rsidRPr="00BD688C">
        <w:rPr>
          <w:b/>
          <w:bCs/>
        </w:rPr>
        <w:t xml:space="preserve"> г</w:t>
      </w:r>
      <w:r w:rsidR="005A703A">
        <w:rPr>
          <w:b/>
          <w:bCs/>
        </w:rPr>
        <w:t>. – м. септември</w:t>
      </w:r>
      <w:r w:rsidR="004F1672">
        <w:rPr>
          <w:b/>
          <w:bCs/>
        </w:rPr>
        <w:t xml:space="preserve"> </w:t>
      </w:r>
      <w:bookmarkStart w:id="0" w:name="_GoBack"/>
      <w:r w:rsidR="004F1672">
        <w:rPr>
          <w:b/>
          <w:bCs/>
        </w:rPr>
        <w:t>201</w:t>
      </w:r>
      <w:r w:rsidR="005A703A">
        <w:rPr>
          <w:b/>
          <w:bCs/>
        </w:rPr>
        <w:t>9</w:t>
      </w:r>
      <w:bookmarkEnd w:id="0"/>
      <w:r w:rsidR="00BD688C">
        <w:rPr>
          <w:b/>
          <w:bCs/>
        </w:rPr>
        <w:t xml:space="preserve"> г.</w:t>
      </w:r>
      <w:r w:rsidR="00001F97" w:rsidRPr="00BD688C">
        <w:rPr>
          <w:b/>
          <w:bCs/>
        </w:rPr>
        <w:t xml:space="preserve"> е  посочено в таблица </w:t>
      </w:r>
      <w:r w:rsidR="00BD688C">
        <w:rPr>
          <w:b/>
          <w:bCs/>
        </w:rPr>
        <w:t xml:space="preserve">№ </w:t>
      </w:r>
      <w:r w:rsidR="00001F97" w:rsidRPr="00BD688C">
        <w:rPr>
          <w:b/>
          <w:bCs/>
        </w:rPr>
        <w:t>1 към настоящата техническа спецификация</w:t>
      </w:r>
      <w:r w:rsidRPr="00BD688C">
        <w:rPr>
          <w:b/>
          <w:bCs/>
        </w:rPr>
        <w:t>.</w:t>
      </w:r>
    </w:p>
    <w:p w:rsidR="00417014" w:rsidRPr="007A64B4" w:rsidRDefault="00417014" w:rsidP="00417014">
      <w:pPr>
        <w:pStyle w:val="a8"/>
        <w:tabs>
          <w:tab w:val="left" w:pos="1080"/>
        </w:tabs>
        <w:ind w:left="0" w:firstLine="426"/>
        <w:jc w:val="both"/>
        <w:rPr>
          <w:b/>
          <w:bCs/>
        </w:rPr>
      </w:pPr>
    </w:p>
    <w:p w:rsidR="00B7762C" w:rsidRPr="00BD688C" w:rsidRDefault="009D0493" w:rsidP="009D0493">
      <w:pPr>
        <w:pStyle w:val="a8"/>
        <w:numPr>
          <w:ilvl w:val="0"/>
          <w:numId w:val="4"/>
        </w:numPr>
        <w:autoSpaceDE w:val="0"/>
        <w:autoSpaceDN w:val="0"/>
        <w:adjustRightInd w:val="0"/>
        <w:jc w:val="both"/>
      </w:pPr>
      <w:r w:rsidRPr="00BD688C">
        <w:rPr>
          <w:rFonts w:hint="eastAsia"/>
        </w:rPr>
        <w:t>Прогнозното</w:t>
      </w:r>
      <w:r w:rsidRPr="00BD688C">
        <w:t xml:space="preserve"> </w:t>
      </w:r>
      <w:r w:rsidRPr="00BD688C">
        <w:rPr>
          <w:rFonts w:hint="eastAsia"/>
        </w:rPr>
        <w:t>количество</w:t>
      </w:r>
      <w:r w:rsidRPr="00BD688C">
        <w:t xml:space="preserve"> </w:t>
      </w:r>
      <w:r w:rsidRPr="00BD688C">
        <w:rPr>
          <w:rFonts w:hint="eastAsia"/>
        </w:rPr>
        <w:t>електрическа</w:t>
      </w:r>
      <w:r w:rsidRPr="00BD688C">
        <w:t xml:space="preserve"> </w:t>
      </w:r>
      <w:r w:rsidRPr="00BD688C">
        <w:rPr>
          <w:rFonts w:hint="eastAsia"/>
        </w:rPr>
        <w:t>енергия</w:t>
      </w:r>
      <w:r w:rsidRPr="00BD688C">
        <w:t xml:space="preserve">, </w:t>
      </w:r>
      <w:r w:rsidRPr="00BD688C">
        <w:rPr>
          <w:rFonts w:hint="eastAsia"/>
        </w:rPr>
        <w:t>което</w:t>
      </w:r>
      <w:r w:rsidRPr="00BD688C">
        <w:t xml:space="preserve"> </w:t>
      </w:r>
      <w:r w:rsidRPr="00BD688C">
        <w:rPr>
          <w:rFonts w:hint="eastAsia"/>
        </w:rPr>
        <w:t>ще</w:t>
      </w:r>
      <w:r w:rsidRPr="00BD688C">
        <w:t xml:space="preserve"> </w:t>
      </w:r>
      <w:r w:rsidRPr="00BD688C">
        <w:rPr>
          <w:rFonts w:hint="eastAsia"/>
        </w:rPr>
        <w:t>се</w:t>
      </w:r>
      <w:r w:rsidRPr="00BD688C">
        <w:t xml:space="preserve"> </w:t>
      </w:r>
      <w:r w:rsidRPr="00BD688C">
        <w:rPr>
          <w:rFonts w:hint="eastAsia"/>
        </w:rPr>
        <w:t>доставя</w:t>
      </w:r>
      <w:r w:rsidRPr="00BD688C">
        <w:t xml:space="preserve"> </w:t>
      </w:r>
      <w:r w:rsidRPr="00BD688C">
        <w:rPr>
          <w:rFonts w:hint="eastAsia"/>
        </w:rPr>
        <w:t>за</w:t>
      </w:r>
      <w:r w:rsidRPr="00BD688C">
        <w:t xml:space="preserve"> </w:t>
      </w:r>
      <w:r w:rsidRPr="00BD688C">
        <w:rPr>
          <w:rFonts w:hint="eastAsia"/>
        </w:rPr>
        <w:t>срока</w:t>
      </w:r>
      <w:r w:rsidRPr="00BD688C">
        <w:t xml:space="preserve"> </w:t>
      </w:r>
      <w:r w:rsidRPr="00BD688C">
        <w:rPr>
          <w:rFonts w:hint="eastAsia"/>
        </w:rPr>
        <w:t>на</w:t>
      </w:r>
      <w:r w:rsidRPr="00BD688C">
        <w:t xml:space="preserve"> </w:t>
      </w:r>
    </w:p>
    <w:p w:rsidR="009D0493" w:rsidRPr="00BD688C" w:rsidRDefault="009D0493" w:rsidP="00B7762C">
      <w:pPr>
        <w:autoSpaceDE w:val="0"/>
        <w:autoSpaceDN w:val="0"/>
        <w:adjustRightInd w:val="0"/>
        <w:jc w:val="both"/>
      </w:pPr>
      <w:r w:rsidRPr="00BD688C">
        <w:rPr>
          <w:rFonts w:hint="eastAsia"/>
        </w:rPr>
        <w:t>договора</w:t>
      </w:r>
      <w:r w:rsidRPr="00BD688C">
        <w:t xml:space="preserve">, </w:t>
      </w:r>
      <w:r w:rsidRPr="00BD688C">
        <w:rPr>
          <w:rFonts w:hint="eastAsia"/>
        </w:rPr>
        <w:t>е</w:t>
      </w:r>
      <w:r w:rsidRPr="00BD688C">
        <w:t xml:space="preserve"> </w:t>
      </w:r>
      <w:r w:rsidRPr="00BD688C">
        <w:rPr>
          <w:rFonts w:hint="eastAsia"/>
        </w:rPr>
        <w:t>определено</w:t>
      </w:r>
      <w:r w:rsidRPr="00BD688C">
        <w:t xml:space="preserve"> </w:t>
      </w:r>
      <w:r w:rsidRPr="00BD688C">
        <w:rPr>
          <w:rFonts w:hint="eastAsia"/>
        </w:rPr>
        <w:t>на</w:t>
      </w:r>
      <w:r w:rsidRPr="00BD688C">
        <w:t xml:space="preserve"> </w:t>
      </w:r>
      <w:r w:rsidRPr="00BD688C">
        <w:rPr>
          <w:rFonts w:hint="eastAsia"/>
        </w:rPr>
        <w:t>база</w:t>
      </w:r>
      <w:r w:rsidRPr="00BD688C">
        <w:t xml:space="preserve"> </w:t>
      </w:r>
      <w:r w:rsidRPr="00BD688C">
        <w:rPr>
          <w:rFonts w:hint="eastAsia"/>
        </w:rPr>
        <w:t>консумираната</w:t>
      </w:r>
      <w:r w:rsidRPr="00BD688C">
        <w:t xml:space="preserve"> </w:t>
      </w:r>
      <w:r w:rsidRPr="00BD688C">
        <w:rPr>
          <w:rFonts w:hint="eastAsia"/>
        </w:rPr>
        <w:t>енергия</w:t>
      </w:r>
      <w:r w:rsidRPr="00BD688C">
        <w:t xml:space="preserve"> </w:t>
      </w:r>
      <w:r w:rsidRPr="00BD688C">
        <w:rPr>
          <w:rFonts w:hint="eastAsia"/>
        </w:rPr>
        <w:t>през</w:t>
      </w:r>
      <w:r w:rsidR="00001F97" w:rsidRPr="00BD688C">
        <w:t xml:space="preserve"> последната</w:t>
      </w:r>
      <w:r w:rsidRPr="00BD688C">
        <w:t xml:space="preserve"> </w:t>
      </w:r>
      <w:r w:rsidR="00001F97" w:rsidRPr="00BD688C">
        <w:t>година</w:t>
      </w:r>
      <w:r w:rsidRPr="00BD688C">
        <w:t xml:space="preserve">. </w:t>
      </w:r>
    </w:p>
    <w:p w:rsidR="00713788" w:rsidRPr="001B4B8C" w:rsidRDefault="00713788" w:rsidP="001B4B8C">
      <w:pPr>
        <w:pStyle w:val="a8"/>
        <w:numPr>
          <w:ilvl w:val="1"/>
          <w:numId w:val="4"/>
        </w:numPr>
        <w:jc w:val="both"/>
      </w:pPr>
      <w:r w:rsidRPr="001B4B8C">
        <w:t xml:space="preserve">Прогнозното количество доставяна нетна активна електрическа енергия за нуждите на </w:t>
      </w:r>
      <w:r w:rsidR="004F1672" w:rsidRPr="001B4B8C">
        <w:t>Аграрен университет - Пловдив</w:t>
      </w:r>
      <w:r w:rsidR="003408A9" w:rsidRPr="001B4B8C">
        <w:t xml:space="preserve"> </w:t>
      </w:r>
      <w:r w:rsidRPr="001B4B8C">
        <w:t>за срок от 12 (дванадесет) месеца</w:t>
      </w:r>
      <w:r w:rsidRPr="001B4B8C">
        <w:rPr>
          <w:b/>
          <w:lang w:val="ru-RU"/>
        </w:rPr>
        <w:t xml:space="preserve"> </w:t>
      </w:r>
      <w:r w:rsidRPr="001B4B8C">
        <w:rPr>
          <w:b/>
        </w:rPr>
        <w:t xml:space="preserve">е </w:t>
      </w:r>
      <w:r w:rsidR="001B4B8C" w:rsidRPr="001B4B8C">
        <w:rPr>
          <w:b/>
        </w:rPr>
        <w:t>880461.19 KWh</w:t>
      </w:r>
      <w:r w:rsidRPr="001B4B8C">
        <w:t>.</w:t>
      </w:r>
    </w:p>
    <w:p w:rsidR="00713788" w:rsidRPr="00BD688C" w:rsidRDefault="00713788" w:rsidP="00713788">
      <w:pPr>
        <w:keepNext/>
        <w:tabs>
          <w:tab w:val="left" w:pos="709"/>
          <w:tab w:val="center" w:pos="6236"/>
        </w:tabs>
        <w:ind w:firstLine="567"/>
        <w:jc w:val="both"/>
        <w:outlineLvl w:val="2"/>
        <w:rPr>
          <w:color w:val="000000"/>
        </w:rPr>
      </w:pPr>
      <w:r w:rsidRPr="00BD688C">
        <w:rPr>
          <w:rFonts w:eastAsia="Calibri"/>
          <w:bCs/>
        </w:rPr>
        <w:t xml:space="preserve">Прогнозното </w:t>
      </w:r>
      <w:r w:rsidRPr="00BD688C">
        <w:rPr>
          <w:color w:val="000000"/>
        </w:rPr>
        <w:t>количеството електроенергия е ориентировъчно и служи само за информация за целите на настоящата поръчка, като не ангажира Възложителя да го потреби.</w:t>
      </w:r>
    </w:p>
    <w:p w:rsidR="00713788" w:rsidRPr="00713788" w:rsidRDefault="00713788" w:rsidP="00713788">
      <w:pPr>
        <w:keepNext/>
        <w:tabs>
          <w:tab w:val="left" w:pos="709"/>
          <w:tab w:val="center" w:pos="6236"/>
        </w:tabs>
        <w:ind w:firstLine="567"/>
        <w:jc w:val="both"/>
        <w:outlineLvl w:val="2"/>
        <w:rPr>
          <w:b/>
          <w:lang w:eastAsia="en-US"/>
        </w:rPr>
      </w:pPr>
      <w:r w:rsidRPr="00BD688C">
        <w:rPr>
          <w:color w:val="000000"/>
        </w:rPr>
        <w:t>Изпълнителят се задължава да достави нужното количество електро</w:t>
      </w:r>
      <w:r w:rsidRPr="00713788">
        <w:rPr>
          <w:color w:val="000000"/>
        </w:rPr>
        <w:t>енергия за нуждите на Възложителя, за денонощие, за месец и за целия период на договора. За срока на договора възложителят има право да присъед</w:t>
      </w:r>
      <w:r w:rsidR="00B7762C">
        <w:rPr>
          <w:color w:val="000000"/>
        </w:rPr>
        <w:t>инява нови обекти и/или отделя (</w:t>
      </w:r>
      <w:r w:rsidRPr="00713788">
        <w:rPr>
          <w:color w:val="000000"/>
        </w:rPr>
        <w:t>отчуждава</w:t>
      </w:r>
      <w:r w:rsidR="00B7762C">
        <w:rPr>
          <w:color w:val="000000"/>
        </w:rPr>
        <w:t>)</w:t>
      </w:r>
      <w:r w:rsidRPr="00713788">
        <w:rPr>
          <w:color w:val="000000"/>
        </w:rPr>
        <w:t xml:space="preserve"> съществуващи, като си запазва правото на промяна в прогнозното количество в положителна или отрицателна посока според възникналата необходимост, без да носи санкции за това.</w:t>
      </w:r>
      <w:r w:rsidRPr="00713788">
        <w:rPr>
          <w:rFonts w:eastAsia="Calibri"/>
          <w:bCs/>
        </w:rPr>
        <w:t xml:space="preserve"> </w:t>
      </w:r>
    </w:p>
    <w:p w:rsidR="002C43D4" w:rsidRPr="002C43D4" w:rsidRDefault="002C43D4" w:rsidP="00A50BD3">
      <w:pPr>
        <w:pStyle w:val="a8"/>
        <w:numPr>
          <w:ilvl w:val="0"/>
          <w:numId w:val="4"/>
        </w:numPr>
        <w:tabs>
          <w:tab w:val="left" w:pos="851"/>
        </w:tabs>
        <w:autoSpaceDE w:val="0"/>
        <w:autoSpaceDN w:val="0"/>
        <w:adjustRightInd w:val="0"/>
        <w:ind w:left="0" w:firstLine="567"/>
        <w:jc w:val="both"/>
        <w:rPr>
          <w:color w:val="000000"/>
        </w:rPr>
      </w:pPr>
      <w:r w:rsidRPr="002C43D4">
        <w:rPr>
          <w:b/>
        </w:rPr>
        <w:t>Базови изисквания. Според обхвата на настоящата процедура</w:t>
      </w:r>
      <w:r w:rsidRPr="00B7762C">
        <w:rPr>
          <w:b/>
          <w:color w:val="000000"/>
          <w:lang w:val="ru-RU" w:eastAsia="en-US"/>
        </w:rPr>
        <w:t xml:space="preserve"> </w:t>
      </w:r>
      <w:r w:rsidRPr="002C43D4">
        <w:t xml:space="preserve">участникът следва да осигури на Възложителя </w:t>
      </w:r>
      <w:r w:rsidRPr="002C43D4">
        <w:rPr>
          <w:lang w:val="ru-RU"/>
        </w:rPr>
        <w:t>д</w:t>
      </w:r>
      <w:r w:rsidRPr="002C43D4">
        <w:rPr>
          <w:bCs/>
          <w:lang w:val="ru-RU"/>
        </w:rPr>
        <w:t xml:space="preserve">оставка на нетна електрическа енергия </w:t>
      </w:r>
      <w:r>
        <w:rPr>
          <w:bCs/>
          <w:lang w:val="ru-RU"/>
        </w:rPr>
        <w:t xml:space="preserve">Н.Н. </w:t>
      </w:r>
      <w:r w:rsidRPr="002C43D4">
        <w:rPr>
          <w:bCs/>
          <w:lang w:val="ru-RU"/>
        </w:rPr>
        <w:t xml:space="preserve">и избор на координатор на балансираща група  при условията на либерализиран пазар, </w:t>
      </w:r>
      <w:r w:rsidRPr="002C43D4">
        <w:rPr>
          <w:color w:val="000000"/>
        </w:rPr>
        <w:t xml:space="preserve">прогнозиране на потреблението и отговорност за балансиране. Цената трябва да включва </w:t>
      </w:r>
      <w:r w:rsidRPr="002C43D4">
        <w:rPr>
          <w:bCs/>
          <w:color w:val="000000"/>
        </w:rPr>
        <w:t>нетна</w:t>
      </w:r>
      <w:r w:rsidRPr="002C43D4">
        <w:rPr>
          <w:color w:val="000000"/>
        </w:rPr>
        <w:t xml:space="preserve"> електрическа енергия, разходи за балансиране и разходи на Участника за осигуряването на описаните услуги. Възложителят няма да заплаща такса за участие в балансираща група. В случай на небаланси на електрическа енергия, същите следва да са за сметка на Изпълнителя.</w:t>
      </w:r>
    </w:p>
    <w:p w:rsidR="002C43D4" w:rsidRPr="002C43D4" w:rsidRDefault="00713788" w:rsidP="00A50BD3">
      <w:pPr>
        <w:pStyle w:val="a8"/>
        <w:numPr>
          <w:ilvl w:val="0"/>
          <w:numId w:val="4"/>
        </w:numPr>
        <w:tabs>
          <w:tab w:val="left" w:pos="0"/>
          <w:tab w:val="left" w:pos="851"/>
        </w:tabs>
        <w:ind w:left="0" w:firstLine="567"/>
        <w:jc w:val="both"/>
        <w:rPr>
          <w:rFonts w:cs="Arial"/>
          <w:szCs w:val="20"/>
          <w:u w:val="single"/>
        </w:rPr>
      </w:pPr>
      <w:r w:rsidRPr="00713788">
        <w:rPr>
          <w:b/>
          <w:color w:val="000000"/>
          <w:lang w:eastAsia="en-US"/>
        </w:rPr>
        <w:t xml:space="preserve">Минимални </w:t>
      </w:r>
      <w:r w:rsidRPr="002C43D4">
        <w:rPr>
          <w:b/>
          <w:color w:val="000000"/>
          <w:lang w:eastAsia="en-US"/>
        </w:rPr>
        <w:t xml:space="preserve">технически </w:t>
      </w:r>
      <w:r w:rsidRPr="00713788">
        <w:rPr>
          <w:b/>
          <w:color w:val="000000"/>
          <w:lang w:eastAsia="en-US"/>
        </w:rPr>
        <w:t>изисквания във връзка с изпълнение на предмета на поръчката</w:t>
      </w:r>
      <w:r w:rsidR="002C43D4">
        <w:rPr>
          <w:b/>
          <w:color w:val="000000"/>
          <w:lang w:eastAsia="en-US"/>
        </w:rPr>
        <w:t>.</w:t>
      </w:r>
      <w:r w:rsidR="002C43D4" w:rsidRPr="002C43D4">
        <w:rPr>
          <w:b/>
          <w:color w:val="000000"/>
          <w:lang w:eastAsia="en-US"/>
        </w:rPr>
        <w:t xml:space="preserve"> </w:t>
      </w:r>
      <w:r w:rsidR="002C43D4" w:rsidRPr="002C43D4">
        <w:rPr>
          <w:rFonts w:cs="Arial"/>
          <w:b/>
          <w:szCs w:val="20"/>
        </w:rPr>
        <w:t>Изпълнителят на настоящата обществена поръчка ще е длъжен</w:t>
      </w:r>
      <w:r w:rsidR="002C43D4" w:rsidRPr="002C43D4">
        <w:rPr>
          <w:rFonts w:cs="Arial"/>
          <w:szCs w:val="20"/>
          <w:u w:val="single"/>
        </w:rPr>
        <w:t>:</w:t>
      </w:r>
    </w:p>
    <w:p w:rsidR="002C43D4" w:rsidRDefault="002C43D4" w:rsidP="00A50BD3">
      <w:pPr>
        <w:numPr>
          <w:ilvl w:val="1"/>
          <w:numId w:val="4"/>
        </w:numPr>
        <w:tabs>
          <w:tab w:val="left" w:pos="0"/>
          <w:tab w:val="left" w:pos="284"/>
          <w:tab w:val="left" w:pos="1134"/>
        </w:tabs>
        <w:suppressAutoHyphens w:val="0"/>
        <w:ind w:left="0" w:firstLine="567"/>
        <w:jc w:val="both"/>
        <w:rPr>
          <w:rFonts w:cs="Arial"/>
          <w:szCs w:val="20"/>
          <w:lang w:eastAsia="bg-BG"/>
        </w:rPr>
      </w:pPr>
      <w:bookmarkStart w:id="1" w:name="page9"/>
      <w:bookmarkEnd w:id="1"/>
      <w:r w:rsidRPr="00340F19">
        <w:rPr>
          <w:rFonts w:cs="Arial"/>
          <w:szCs w:val="20"/>
          <w:lang w:eastAsia="bg-BG"/>
        </w:rPr>
        <w:t xml:space="preserve">да </w:t>
      </w:r>
      <w:r w:rsidRPr="0059515A">
        <w:rPr>
          <w:rFonts w:cs="Arial"/>
          <w:szCs w:val="20"/>
          <w:lang w:eastAsia="bg-BG"/>
        </w:rPr>
        <w:t>продава на Възложителя договорените количества електрическата енергия</w:t>
      </w:r>
      <w:r>
        <w:rPr>
          <w:rFonts w:cs="Arial"/>
          <w:szCs w:val="20"/>
          <w:lang w:eastAsia="bg-BG"/>
        </w:rPr>
        <w:t xml:space="preserve"> до </w:t>
      </w:r>
      <w:r w:rsidRPr="0059515A">
        <w:rPr>
          <w:rFonts w:cs="Arial"/>
          <w:szCs w:val="20"/>
          <w:lang w:eastAsia="bg-BG"/>
        </w:rPr>
        <w:t>мястото на доставка, съгласно приложимите Правила за търговия с електрическа енергия, приети с решение на КЕВР, последно обн. в Държавен вестник (ПТЕЕ).</w:t>
      </w:r>
    </w:p>
    <w:p w:rsidR="007C4EB8" w:rsidRPr="007C4EB8" w:rsidRDefault="007C4EB8" w:rsidP="00A50BD3">
      <w:pPr>
        <w:numPr>
          <w:ilvl w:val="1"/>
          <w:numId w:val="4"/>
        </w:numPr>
        <w:tabs>
          <w:tab w:val="left" w:pos="0"/>
          <w:tab w:val="left" w:pos="1134"/>
        </w:tabs>
        <w:suppressAutoHyphens w:val="0"/>
        <w:ind w:left="0" w:firstLine="567"/>
        <w:jc w:val="both"/>
        <w:rPr>
          <w:rFonts w:cs="Arial"/>
          <w:szCs w:val="20"/>
          <w:lang w:eastAsia="bg-BG"/>
        </w:rPr>
      </w:pPr>
      <w:r>
        <w:rPr>
          <w:color w:val="000000"/>
          <w:lang w:eastAsia="bg-BG"/>
        </w:rPr>
        <w:t>д</w:t>
      </w:r>
      <w:r w:rsidRPr="00713788">
        <w:rPr>
          <w:color w:val="000000"/>
          <w:lang w:eastAsia="bg-BG"/>
        </w:rPr>
        <w:t>а осигурява непрекъснатост на електроснабдяването и да доставя електрическа енергия с качество и по ред, съгласно предвиденото в Закон</w:t>
      </w:r>
      <w:r>
        <w:rPr>
          <w:color w:val="000000"/>
          <w:lang w:eastAsia="bg-BG"/>
        </w:rPr>
        <w:t>а за енергетиката, ПТЕЕ и ПИКЕЕ</w:t>
      </w:r>
    </w:p>
    <w:p w:rsidR="007C4EB8" w:rsidRDefault="007C4EB8" w:rsidP="00A50BD3">
      <w:pPr>
        <w:numPr>
          <w:ilvl w:val="1"/>
          <w:numId w:val="4"/>
        </w:numPr>
        <w:tabs>
          <w:tab w:val="left" w:pos="0"/>
          <w:tab w:val="left" w:pos="1134"/>
        </w:tabs>
        <w:suppressAutoHyphens w:val="0"/>
        <w:ind w:left="0" w:firstLine="567"/>
        <w:jc w:val="both"/>
        <w:rPr>
          <w:rFonts w:cs="Arial"/>
          <w:szCs w:val="20"/>
          <w:lang w:eastAsia="bg-BG"/>
        </w:rPr>
      </w:pPr>
      <w:r>
        <w:rPr>
          <w:rFonts w:cs="Arial"/>
          <w:szCs w:val="20"/>
          <w:lang w:eastAsia="bg-BG"/>
        </w:rPr>
        <w:lastRenderedPageBreak/>
        <w:t>д</w:t>
      </w:r>
      <w:r w:rsidRPr="007C4EB8">
        <w:rPr>
          <w:rFonts w:cs="Arial"/>
          <w:szCs w:val="20"/>
          <w:lang w:eastAsia="bg-BG"/>
        </w:rPr>
        <w:t>а включи възложителя като непряк член в своя стандартна балансираща група с координатор избрания за изпълнител участник, без възложителят да заплаща такса за регистрация и участие;</w:t>
      </w:r>
    </w:p>
    <w:p w:rsidR="007C4EB8" w:rsidRDefault="002C43D4" w:rsidP="00A50BD3">
      <w:pPr>
        <w:numPr>
          <w:ilvl w:val="1"/>
          <w:numId w:val="4"/>
        </w:numPr>
        <w:tabs>
          <w:tab w:val="left" w:pos="0"/>
          <w:tab w:val="left" w:pos="1134"/>
        </w:tabs>
        <w:suppressAutoHyphens w:val="0"/>
        <w:ind w:left="0" w:firstLine="567"/>
        <w:jc w:val="both"/>
        <w:rPr>
          <w:rFonts w:cs="Arial"/>
          <w:szCs w:val="20"/>
          <w:lang w:eastAsia="bg-BG"/>
        </w:rPr>
      </w:pPr>
      <w:r w:rsidRPr="007C4EB8">
        <w:rPr>
          <w:rFonts w:cs="Arial"/>
          <w:szCs w:val="20"/>
          <w:lang w:eastAsia="bg-BG"/>
        </w:rPr>
        <w:t>да извършва всички необходими действия, съгласно действащите към момента ПТЕЕ така, че да осигури изпълнението на настоящия договор.</w:t>
      </w:r>
    </w:p>
    <w:p w:rsidR="007C4EB8" w:rsidRDefault="007C4EB8" w:rsidP="00A50BD3">
      <w:pPr>
        <w:numPr>
          <w:ilvl w:val="1"/>
          <w:numId w:val="4"/>
        </w:numPr>
        <w:tabs>
          <w:tab w:val="left" w:pos="0"/>
          <w:tab w:val="left" w:pos="284"/>
          <w:tab w:val="left" w:pos="1134"/>
        </w:tabs>
        <w:suppressAutoHyphens w:val="0"/>
        <w:ind w:left="0" w:firstLine="567"/>
        <w:jc w:val="both"/>
        <w:rPr>
          <w:rFonts w:cs="Arial"/>
          <w:szCs w:val="20"/>
          <w:lang w:eastAsia="bg-BG"/>
        </w:rPr>
      </w:pPr>
      <w:r w:rsidRPr="002E249B">
        <w:rPr>
          <w:rFonts w:cs="Arial"/>
          <w:szCs w:val="20"/>
          <w:lang w:eastAsia="bg-BG"/>
        </w:rPr>
        <w:t xml:space="preserve">да </w:t>
      </w:r>
      <w:r w:rsidRPr="0059515A">
        <w:rPr>
          <w:rFonts w:cs="Arial"/>
          <w:szCs w:val="20"/>
          <w:lang w:eastAsia="bg-BG"/>
        </w:rPr>
        <w:t>уведомява Възложителя в посочените в договора срокове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w:t>
      </w:r>
    </w:p>
    <w:p w:rsidR="007C4EB8" w:rsidRDefault="007C4EB8" w:rsidP="00A50BD3">
      <w:pPr>
        <w:numPr>
          <w:ilvl w:val="1"/>
          <w:numId w:val="4"/>
        </w:numPr>
        <w:tabs>
          <w:tab w:val="left" w:pos="0"/>
          <w:tab w:val="left" w:pos="1134"/>
        </w:tabs>
        <w:suppressAutoHyphens w:val="0"/>
        <w:ind w:left="0" w:firstLine="567"/>
        <w:jc w:val="both"/>
        <w:rPr>
          <w:rFonts w:cs="Arial"/>
          <w:szCs w:val="20"/>
          <w:lang w:eastAsia="bg-BG"/>
        </w:rPr>
      </w:pPr>
      <w:r>
        <w:rPr>
          <w:color w:val="000000"/>
        </w:rPr>
        <w:t>д</w:t>
      </w:r>
      <w:r w:rsidRPr="007C4EB8">
        <w:rPr>
          <w:color w:val="000000"/>
        </w:rPr>
        <w:t>а предоставя на възложителя поисканите от него и уговорените в сключения договор информация, данни или документи по начина и в сроковете, посочени в проекта на договор;</w:t>
      </w:r>
    </w:p>
    <w:p w:rsidR="007C4EB8" w:rsidRPr="007C4EB8" w:rsidRDefault="007C4EB8" w:rsidP="00A50BD3">
      <w:pPr>
        <w:numPr>
          <w:ilvl w:val="1"/>
          <w:numId w:val="4"/>
        </w:numPr>
        <w:tabs>
          <w:tab w:val="left" w:pos="0"/>
          <w:tab w:val="left" w:pos="1134"/>
        </w:tabs>
        <w:suppressAutoHyphens w:val="0"/>
        <w:ind w:left="0" w:firstLine="567"/>
        <w:jc w:val="both"/>
        <w:rPr>
          <w:rFonts w:cs="Arial"/>
          <w:szCs w:val="20"/>
          <w:lang w:eastAsia="bg-BG"/>
        </w:rPr>
      </w:pPr>
      <w:r>
        <w:rPr>
          <w:color w:val="000000"/>
        </w:rPr>
        <w:t>д</w:t>
      </w:r>
      <w:r w:rsidRPr="007C4EB8">
        <w:rPr>
          <w:color w:val="000000"/>
        </w:rPr>
        <w:t>а спазва разпоредбите и правилата, заложени в ЗЕ и наредбите към него, както и ПТЕЕ и разпореж</w:t>
      </w:r>
      <w:r w:rsidR="00B7762C">
        <w:rPr>
          <w:color w:val="000000"/>
        </w:rPr>
        <w:t xml:space="preserve">данията на Оператора на електро </w:t>
      </w:r>
      <w:r w:rsidRPr="007C4EB8">
        <w:rPr>
          <w:color w:val="000000"/>
        </w:rPr>
        <w:t>преносната мрежа (ОЕМ) така, че да не бъде отстранен като регистриран търговец на електрическа енергия и координатор на балансираща група;</w:t>
      </w:r>
    </w:p>
    <w:p w:rsidR="007C4EB8" w:rsidRDefault="007C4EB8" w:rsidP="00A50BD3">
      <w:pPr>
        <w:numPr>
          <w:ilvl w:val="1"/>
          <w:numId w:val="4"/>
        </w:numPr>
        <w:tabs>
          <w:tab w:val="left" w:pos="0"/>
        </w:tabs>
        <w:suppressAutoHyphens w:val="0"/>
        <w:ind w:left="0" w:firstLine="567"/>
        <w:jc w:val="both"/>
        <w:rPr>
          <w:rFonts w:cs="Arial"/>
          <w:szCs w:val="20"/>
          <w:lang w:eastAsia="bg-BG"/>
        </w:rPr>
      </w:pPr>
      <w:r>
        <w:rPr>
          <w:color w:val="000000"/>
        </w:rPr>
        <w:t>д</w:t>
      </w:r>
      <w:r w:rsidRPr="007C4EB8">
        <w:rPr>
          <w:color w:val="000000"/>
        </w:rPr>
        <w:t>а извършва енергиен мониторинг и изготвя подробен индивидуален анализ на характерния товаров профил на възложителя с цел оценка на енергийната му ефективност;</w:t>
      </w:r>
    </w:p>
    <w:p w:rsidR="002C43D4" w:rsidRPr="007C4EB8" w:rsidRDefault="002C43D4" w:rsidP="00A50BD3">
      <w:pPr>
        <w:numPr>
          <w:ilvl w:val="1"/>
          <w:numId w:val="4"/>
        </w:numPr>
        <w:tabs>
          <w:tab w:val="left" w:pos="0"/>
        </w:tabs>
        <w:suppressAutoHyphens w:val="0"/>
        <w:ind w:left="0" w:firstLine="567"/>
        <w:jc w:val="both"/>
        <w:rPr>
          <w:rFonts w:cs="Arial"/>
          <w:szCs w:val="20"/>
          <w:lang w:eastAsia="bg-BG"/>
        </w:rPr>
      </w:pPr>
      <w:r w:rsidRPr="007C4EB8">
        <w:rPr>
          <w:rFonts w:cs="Arial"/>
          <w:szCs w:val="20"/>
          <w:lang w:eastAsia="bg-BG"/>
        </w:rPr>
        <w:t>да издава единни фактури на Възложителя, включваща консумираната активна електрическа енергия за определения месец, акциз и задължение към обществото, както и всички нормативно определени мрежови услуги.</w:t>
      </w:r>
    </w:p>
    <w:p w:rsidR="00713788" w:rsidRPr="00713788" w:rsidRDefault="002C43D4" w:rsidP="00A50BD3">
      <w:pPr>
        <w:numPr>
          <w:ilvl w:val="0"/>
          <w:numId w:val="4"/>
        </w:numPr>
        <w:tabs>
          <w:tab w:val="left" w:pos="0"/>
          <w:tab w:val="left" w:pos="1134"/>
        </w:tabs>
        <w:suppressAutoHyphens w:val="0"/>
        <w:autoSpaceDE w:val="0"/>
        <w:autoSpaceDN w:val="0"/>
        <w:adjustRightInd w:val="0"/>
        <w:spacing w:before="240"/>
        <w:ind w:left="0" w:firstLine="540"/>
        <w:jc w:val="both"/>
        <w:rPr>
          <w:color w:val="000000"/>
          <w:lang w:eastAsia="en-US"/>
        </w:rPr>
      </w:pPr>
      <w:r w:rsidRPr="007C4EB8">
        <w:rPr>
          <w:rFonts w:cs="Arial"/>
          <w:b/>
          <w:szCs w:val="20"/>
          <w:lang w:eastAsia="bg-BG"/>
        </w:rPr>
        <w:t xml:space="preserve">Планиране на количествата. </w:t>
      </w:r>
      <w:r w:rsidR="00713788" w:rsidRPr="00713788">
        <w:rPr>
          <w:color w:val="000000"/>
          <w:lang w:eastAsia="en-US"/>
        </w:rPr>
        <w:t>Да осигурява прогнозиране на потреблението на Възложителя и да извършва планиране и договаряне на конкретни количества нетна активна електрическа енергия съобразно ПТЕЕ, като:</w:t>
      </w:r>
    </w:p>
    <w:p w:rsidR="00A50BD3" w:rsidRDefault="00713788" w:rsidP="00A50BD3">
      <w:pPr>
        <w:pStyle w:val="a8"/>
        <w:numPr>
          <w:ilvl w:val="1"/>
          <w:numId w:val="4"/>
        </w:numPr>
        <w:tabs>
          <w:tab w:val="left" w:pos="0"/>
          <w:tab w:val="left" w:pos="851"/>
          <w:tab w:val="left" w:pos="993"/>
        </w:tabs>
        <w:autoSpaceDE w:val="0"/>
        <w:autoSpaceDN w:val="0"/>
        <w:adjustRightInd w:val="0"/>
        <w:ind w:left="0" w:firstLine="567"/>
        <w:jc w:val="both"/>
        <w:rPr>
          <w:color w:val="000000"/>
          <w:lang w:eastAsia="en-US"/>
        </w:rPr>
      </w:pPr>
      <w:r w:rsidRPr="00A50BD3">
        <w:rPr>
          <w:color w:val="000000"/>
          <w:lang w:eastAsia="en-US"/>
        </w:rPr>
        <w:t>изготвя почасови дневни графици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 Графиците следва да са съобразени с очаквания часови енергиен товар. Графиците следва да се изготвят до размера и съобразно прогнозните количества енергия изготвени и планирани от Изпълнителя;</w:t>
      </w:r>
    </w:p>
    <w:p w:rsidR="00A50BD3" w:rsidRDefault="00713788" w:rsidP="00A50BD3">
      <w:pPr>
        <w:pStyle w:val="a8"/>
        <w:numPr>
          <w:ilvl w:val="1"/>
          <w:numId w:val="4"/>
        </w:numPr>
        <w:tabs>
          <w:tab w:val="left" w:pos="0"/>
          <w:tab w:val="left" w:pos="851"/>
          <w:tab w:val="left" w:pos="993"/>
        </w:tabs>
        <w:autoSpaceDE w:val="0"/>
        <w:autoSpaceDN w:val="0"/>
        <w:adjustRightInd w:val="0"/>
        <w:ind w:left="0" w:firstLine="567"/>
        <w:jc w:val="both"/>
        <w:rPr>
          <w:color w:val="000000"/>
          <w:lang w:eastAsia="en-US"/>
        </w:rPr>
      </w:pPr>
      <w:r w:rsidRPr="00A50BD3">
        <w:rPr>
          <w:color w:val="000000"/>
          <w:lang w:eastAsia="en-US"/>
        </w:rPr>
        <w:t>изпраща почасовите дневни графици за доставка на ЕСО, в съответствие с разпоредбите на ПТЕЕ;</w:t>
      </w:r>
    </w:p>
    <w:p w:rsidR="00A50BD3" w:rsidRDefault="00713788" w:rsidP="00A50BD3">
      <w:pPr>
        <w:pStyle w:val="a8"/>
        <w:numPr>
          <w:ilvl w:val="1"/>
          <w:numId w:val="4"/>
        </w:numPr>
        <w:tabs>
          <w:tab w:val="left" w:pos="0"/>
          <w:tab w:val="left" w:pos="851"/>
          <w:tab w:val="left" w:pos="993"/>
        </w:tabs>
        <w:autoSpaceDE w:val="0"/>
        <w:autoSpaceDN w:val="0"/>
        <w:adjustRightInd w:val="0"/>
        <w:ind w:left="0" w:firstLine="567"/>
        <w:jc w:val="both"/>
        <w:rPr>
          <w:color w:val="000000"/>
          <w:lang w:eastAsia="en-US"/>
        </w:rPr>
      </w:pPr>
      <w:r w:rsidRPr="00A50BD3">
        <w:rPr>
          <w:color w:val="000000"/>
        </w:rPr>
        <w:t xml:space="preserve">администрира графиците, които се известяват (регистрират) в ЕСО, в които са отразени дневни нетни количества активна електрическа енергия на ниско напрежение и обмена на информация с лицензираното ЕРП и ЕСО на територията, на която се намира съответната измервателна точка;  </w:t>
      </w:r>
    </w:p>
    <w:p w:rsidR="00713788" w:rsidRDefault="00713788" w:rsidP="00A50BD3">
      <w:pPr>
        <w:pStyle w:val="a8"/>
        <w:numPr>
          <w:ilvl w:val="1"/>
          <w:numId w:val="4"/>
        </w:numPr>
        <w:tabs>
          <w:tab w:val="left" w:pos="0"/>
          <w:tab w:val="left" w:pos="851"/>
          <w:tab w:val="left" w:pos="993"/>
        </w:tabs>
        <w:autoSpaceDE w:val="0"/>
        <w:autoSpaceDN w:val="0"/>
        <w:adjustRightInd w:val="0"/>
        <w:ind w:left="0" w:firstLine="567"/>
        <w:jc w:val="both"/>
        <w:rPr>
          <w:color w:val="000000"/>
          <w:lang w:eastAsia="en-US"/>
        </w:rPr>
      </w:pPr>
      <w:r w:rsidRPr="00A50BD3">
        <w:rPr>
          <w:color w:val="000000"/>
          <w:lang w:eastAsia="en-US"/>
        </w:rPr>
        <w:t>потвърждава от името на Възложителя графиците за доставка пред ЕСО;</w:t>
      </w:r>
    </w:p>
    <w:p w:rsidR="00A50BD3" w:rsidRDefault="00A50BD3" w:rsidP="00A50BD3">
      <w:pPr>
        <w:pStyle w:val="a8"/>
        <w:numPr>
          <w:ilvl w:val="0"/>
          <w:numId w:val="4"/>
        </w:numPr>
        <w:tabs>
          <w:tab w:val="left" w:pos="0"/>
          <w:tab w:val="left" w:pos="851"/>
          <w:tab w:val="left" w:pos="993"/>
          <w:tab w:val="left" w:pos="1418"/>
        </w:tabs>
        <w:autoSpaceDE w:val="0"/>
        <w:autoSpaceDN w:val="0"/>
        <w:adjustRightInd w:val="0"/>
        <w:ind w:left="0" w:firstLine="567"/>
        <w:jc w:val="both"/>
        <w:rPr>
          <w:color w:val="000000"/>
          <w:lang w:eastAsia="en-US"/>
        </w:rPr>
      </w:pPr>
      <w:r w:rsidRPr="00A50BD3">
        <w:rPr>
          <w:color w:val="000000"/>
          <w:lang w:eastAsia="en-US"/>
        </w:rPr>
        <w:t xml:space="preserve">Да осигурява отговорността по балансиране, като урежда отклоненията от заявените количества електрическа енергия за всеки период на сетълмен в дневните графици за доставка и тяхното заплащане, като всички разходи/приходи по балансирането са за сметка на Изпълнителя, без в балансиращата група допълнително да се начисляват суми за излишък и недостиг. </w:t>
      </w:r>
    </w:p>
    <w:p w:rsidR="00A50BD3" w:rsidRDefault="00A50BD3" w:rsidP="00A50BD3">
      <w:pPr>
        <w:pStyle w:val="a8"/>
        <w:numPr>
          <w:ilvl w:val="0"/>
          <w:numId w:val="4"/>
        </w:numPr>
        <w:tabs>
          <w:tab w:val="left" w:pos="0"/>
          <w:tab w:val="left" w:pos="851"/>
          <w:tab w:val="left" w:pos="993"/>
          <w:tab w:val="left" w:pos="1418"/>
        </w:tabs>
        <w:autoSpaceDE w:val="0"/>
        <w:autoSpaceDN w:val="0"/>
        <w:adjustRightInd w:val="0"/>
        <w:ind w:left="0" w:firstLine="567"/>
        <w:jc w:val="both"/>
        <w:rPr>
          <w:color w:val="000000"/>
          <w:lang w:eastAsia="en-US"/>
        </w:rPr>
      </w:pPr>
      <w:r w:rsidRPr="00A50BD3">
        <w:rPr>
          <w:color w:val="000000"/>
        </w:rPr>
        <w:lastRenderedPageBreak/>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w:t>
      </w:r>
      <w:r>
        <w:rPr>
          <w:color w:val="000000"/>
        </w:rPr>
        <w:t xml:space="preserve"> на задълженията му по договора.</w:t>
      </w:r>
    </w:p>
    <w:p w:rsidR="00A50BD3" w:rsidRPr="00A50BD3" w:rsidRDefault="00A50BD3" w:rsidP="00A50BD3">
      <w:pPr>
        <w:pStyle w:val="a8"/>
        <w:numPr>
          <w:ilvl w:val="0"/>
          <w:numId w:val="4"/>
        </w:numPr>
        <w:tabs>
          <w:tab w:val="left" w:pos="0"/>
          <w:tab w:val="left" w:pos="851"/>
          <w:tab w:val="left" w:pos="993"/>
          <w:tab w:val="left" w:pos="1418"/>
        </w:tabs>
        <w:autoSpaceDE w:val="0"/>
        <w:autoSpaceDN w:val="0"/>
        <w:adjustRightInd w:val="0"/>
        <w:ind w:left="0" w:firstLine="567"/>
        <w:jc w:val="both"/>
        <w:rPr>
          <w:color w:val="000000"/>
          <w:lang w:eastAsia="en-US"/>
        </w:rPr>
      </w:pPr>
      <w:r w:rsidRPr="00A50BD3">
        <w:rPr>
          <w:rFonts w:cs="Arial"/>
          <w:szCs w:val="20"/>
        </w:rPr>
        <w:t>Възложителят ще уведомява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повлияли върху договорното изпълнение.</w:t>
      </w:r>
    </w:p>
    <w:p w:rsidR="00A50BD3" w:rsidRPr="00A50BD3" w:rsidRDefault="00A50BD3" w:rsidP="00A50BD3">
      <w:pPr>
        <w:pStyle w:val="a8"/>
        <w:numPr>
          <w:ilvl w:val="0"/>
          <w:numId w:val="4"/>
        </w:numPr>
        <w:tabs>
          <w:tab w:val="left" w:pos="0"/>
          <w:tab w:val="left" w:pos="851"/>
          <w:tab w:val="left" w:pos="993"/>
          <w:tab w:val="left" w:pos="1418"/>
        </w:tabs>
        <w:autoSpaceDE w:val="0"/>
        <w:autoSpaceDN w:val="0"/>
        <w:adjustRightInd w:val="0"/>
        <w:ind w:left="0" w:firstLine="567"/>
        <w:jc w:val="both"/>
        <w:rPr>
          <w:color w:val="000000"/>
          <w:lang w:eastAsia="en-US"/>
        </w:rPr>
      </w:pPr>
      <w:r w:rsidRPr="00A50BD3">
        <w:rPr>
          <w:rFonts w:cs="Arial"/>
          <w:szCs w:val="20"/>
        </w:rPr>
        <w:t>В случай на непредвидени изменения и/или непредвидени големи ремонти или дълготрайна невъзможност за електропотребление, Възложителят писмено ще уведоми Изпълнителя, до 3 (три) работни дни от възникване на събитието за промяна на количеството потребявана енергия и очакваната продължителност на събитието.</w:t>
      </w:r>
    </w:p>
    <w:p w:rsidR="00A50BD3" w:rsidRDefault="00A50BD3" w:rsidP="00A50BD3">
      <w:pPr>
        <w:tabs>
          <w:tab w:val="left" w:pos="1134"/>
          <w:tab w:val="left" w:pos="1418"/>
        </w:tabs>
        <w:suppressAutoHyphens w:val="0"/>
        <w:autoSpaceDE w:val="0"/>
        <w:autoSpaceDN w:val="0"/>
        <w:adjustRightInd w:val="0"/>
        <w:ind w:firstLine="540"/>
        <w:jc w:val="both"/>
        <w:rPr>
          <w:color w:val="000000"/>
          <w:lang w:eastAsia="en-US"/>
        </w:rPr>
      </w:pPr>
    </w:p>
    <w:p w:rsidR="00001F97" w:rsidRPr="007A64B4" w:rsidRDefault="00894A8B">
      <w:pPr>
        <w:ind w:firstLine="567"/>
        <w:jc w:val="both"/>
      </w:pPr>
      <w:r w:rsidRPr="008E3930">
        <w:rPr>
          <w:b/>
          <w:i/>
        </w:rPr>
        <w:t>Приложение</w:t>
      </w:r>
      <w:r w:rsidRPr="008E3930">
        <w:rPr>
          <w:b/>
        </w:rPr>
        <w:t>:</w:t>
      </w:r>
      <w:r w:rsidRPr="00105CE4">
        <w:t xml:space="preserve"> Неразделна част от настоящата Техническа спецификация е Таблица за месечното потребление на електрическа енергия на обектите на ВЪЗЛОЖИТЕЛЯ</w:t>
      </w:r>
      <w:r w:rsidR="00001F97" w:rsidRPr="00105CE4">
        <w:t xml:space="preserve"> –</w:t>
      </w:r>
      <w:r w:rsidR="004F1672">
        <w:t xml:space="preserve">Аграрен университет – Пловдив, </w:t>
      </w:r>
      <w:r w:rsidRPr="00105CE4">
        <w:t xml:space="preserve">за </w:t>
      </w:r>
      <w:r w:rsidR="00105CE4" w:rsidRPr="00105CE4">
        <w:t>период</w:t>
      </w:r>
      <w:r w:rsidR="004F1672">
        <w:t>а</w:t>
      </w:r>
      <w:r w:rsidR="00105CE4" w:rsidRPr="00105CE4">
        <w:t xml:space="preserve"> </w:t>
      </w:r>
      <w:r w:rsidR="004F1672">
        <w:t>януари</w:t>
      </w:r>
      <w:r w:rsidRPr="00105CE4">
        <w:t xml:space="preserve"> 201</w:t>
      </w:r>
      <w:r w:rsidR="004F1672">
        <w:t>8</w:t>
      </w:r>
      <w:r w:rsidRPr="00105CE4">
        <w:t xml:space="preserve"> г</w:t>
      </w:r>
      <w:r w:rsidR="004F1672">
        <w:t>. – дек</w:t>
      </w:r>
      <w:r w:rsidR="00105CE4" w:rsidRPr="00105CE4">
        <w:t>ември 201</w:t>
      </w:r>
      <w:r w:rsidR="004F1672">
        <w:t>8</w:t>
      </w:r>
      <w:r w:rsidR="00105CE4" w:rsidRPr="00105CE4">
        <w:t xml:space="preserve"> г.</w:t>
      </w:r>
    </w:p>
    <w:sectPr w:rsidR="00001F97" w:rsidRPr="007A64B4" w:rsidSect="00A50BD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pStyle w:va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CF73175"/>
    <w:multiLevelType w:val="hybridMultilevel"/>
    <w:tmpl w:val="EAE4DAF4"/>
    <w:lvl w:ilvl="0" w:tplc="8CC84BC4">
      <w:start w:val="1"/>
      <w:numFmt w:val="decimal"/>
      <w:lvlText w:val="%1."/>
      <w:lvlJc w:val="left"/>
      <w:pPr>
        <w:ind w:left="1440" w:hanging="360"/>
      </w:pPr>
      <w:rPr>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47B35AD7"/>
    <w:multiLevelType w:val="multilevel"/>
    <w:tmpl w:val="BF5826E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5F7440EA"/>
    <w:multiLevelType w:val="multilevel"/>
    <w:tmpl w:val="D5F83796"/>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63684FAA"/>
    <w:multiLevelType w:val="multilevel"/>
    <w:tmpl w:val="5046FA7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1B574A9"/>
    <w:multiLevelType w:val="multilevel"/>
    <w:tmpl w:val="058417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14"/>
    <w:rsid w:val="00001F97"/>
    <w:rsid w:val="000A15F6"/>
    <w:rsid w:val="00105CE4"/>
    <w:rsid w:val="0019702E"/>
    <w:rsid w:val="001B4B8C"/>
    <w:rsid w:val="002046D5"/>
    <w:rsid w:val="002772A8"/>
    <w:rsid w:val="002919F9"/>
    <w:rsid w:val="002C43D4"/>
    <w:rsid w:val="002D034F"/>
    <w:rsid w:val="0030698E"/>
    <w:rsid w:val="003408A9"/>
    <w:rsid w:val="00417014"/>
    <w:rsid w:val="004B2EC0"/>
    <w:rsid w:val="004E04D4"/>
    <w:rsid w:val="004F1672"/>
    <w:rsid w:val="005A703A"/>
    <w:rsid w:val="00713788"/>
    <w:rsid w:val="007A64B4"/>
    <w:rsid w:val="007C4EB8"/>
    <w:rsid w:val="007E2AE3"/>
    <w:rsid w:val="008470F7"/>
    <w:rsid w:val="00864B27"/>
    <w:rsid w:val="00894A8B"/>
    <w:rsid w:val="008E3930"/>
    <w:rsid w:val="009D0493"/>
    <w:rsid w:val="00A109F3"/>
    <w:rsid w:val="00A241D1"/>
    <w:rsid w:val="00A50BD3"/>
    <w:rsid w:val="00A550C1"/>
    <w:rsid w:val="00AA52B9"/>
    <w:rsid w:val="00AD54DF"/>
    <w:rsid w:val="00AF37B3"/>
    <w:rsid w:val="00B7762C"/>
    <w:rsid w:val="00BD688C"/>
    <w:rsid w:val="00CD7660"/>
    <w:rsid w:val="00E213EF"/>
    <w:rsid w:val="00E6765A"/>
    <w:rsid w:val="00E70CC3"/>
    <w:rsid w:val="00E95A14"/>
    <w:rsid w:val="00F777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14"/>
    <w:pPr>
      <w:suppressAutoHyphens/>
      <w:spacing w:after="0" w:line="240" w:lineRule="auto"/>
    </w:pPr>
    <w:rPr>
      <w:rFonts w:ascii="Times New Roman" w:eastAsia="Times New Roman" w:hAnsi="Times New Roman" w:cs="Times New Roman"/>
      <w:sz w:val="24"/>
      <w:szCs w:val="24"/>
      <w:lang w:val="bg-BG" w:eastAsia="ar-SA"/>
    </w:rPr>
  </w:style>
  <w:style w:type="paragraph" w:styleId="2">
    <w:name w:val="heading 2"/>
    <w:aliases w:val="Heading 2 Char1,Heading 2 Char Char"/>
    <w:basedOn w:val="a"/>
    <w:next w:val="a0"/>
    <w:link w:val="20"/>
    <w:semiHidden/>
    <w:unhideWhenUsed/>
    <w:qFormat/>
    <w:rsid w:val="00417014"/>
    <w:pPr>
      <w:keepNext/>
      <w:numPr>
        <w:ilvl w:val="1"/>
        <w:numId w:val="2"/>
      </w:numPr>
      <w:spacing w:before="240" w:after="120"/>
      <w:outlineLvl w:val="1"/>
    </w:pPr>
    <w:rPr>
      <w:rFonts w:eastAsia="SimSun" w:cs="Mang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aliases w:val="Heading 2 Char1 Знак,Heading 2 Char Char Знак"/>
    <w:basedOn w:val="a1"/>
    <w:link w:val="2"/>
    <w:semiHidden/>
    <w:rsid w:val="00417014"/>
    <w:rPr>
      <w:rFonts w:ascii="Times New Roman" w:eastAsia="SimSun" w:hAnsi="Times New Roman" w:cs="Mangal"/>
      <w:sz w:val="36"/>
      <w:szCs w:val="36"/>
      <w:lang w:val="bg-BG" w:eastAsia="ar-SA"/>
    </w:rPr>
  </w:style>
  <w:style w:type="paragraph" w:styleId="a0">
    <w:name w:val="Body Text"/>
    <w:aliases w:val="block style"/>
    <w:basedOn w:val="a"/>
    <w:link w:val="a4"/>
    <w:semiHidden/>
    <w:unhideWhenUsed/>
    <w:rsid w:val="00417014"/>
    <w:pPr>
      <w:spacing w:after="120"/>
    </w:pPr>
  </w:style>
  <w:style w:type="character" w:customStyle="1" w:styleId="a4">
    <w:name w:val="Основен текст Знак"/>
    <w:aliases w:val="block style Знак"/>
    <w:basedOn w:val="a1"/>
    <w:link w:val="a0"/>
    <w:semiHidden/>
    <w:rsid w:val="00417014"/>
    <w:rPr>
      <w:rFonts w:ascii="Times New Roman" w:eastAsia="Times New Roman" w:hAnsi="Times New Roman" w:cs="Times New Roman"/>
      <w:sz w:val="24"/>
      <w:szCs w:val="24"/>
      <w:lang w:val="bg-BG" w:eastAsia="ar-SA"/>
    </w:rPr>
  </w:style>
  <w:style w:type="paragraph" w:styleId="a5">
    <w:name w:val="header"/>
    <w:basedOn w:val="a"/>
    <w:link w:val="a6"/>
    <w:uiPriority w:val="99"/>
    <w:semiHidden/>
    <w:unhideWhenUsed/>
    <w:rsid w:val="00417014"/>
    <w:pPr>
      <w:tabs>
        <w:tab w:val="center" w:pos="4536"/>
        <w:tab w:val="right" w:pos="9072"/>
      </w:tabs>
    </w:pPr>
  </w:style>
  <w:style w:type="character" w:customStyle="1" w:styleId="a6">
    <w:name w:val="Горен колонтитул Знак"/>
    <w:basedOn w:val="a1"/>
    <w:link w:val="a5"/>
    <w:uiPriority w:val="99"/>
    <w:semiHidden/>
    <w:rsid w:val="00417014"/>
    <w:rPr>
      <w:rFonts w:ascii="Times New Roman" w:eastAsia="Times New Roman" w:hAnsi="Times New Roman" w:cs="Times New Roman"/>
      <w:sz w:val="24"/>
      <w:szCs w:val="24"/>
      <w:lang w:val="bg-BG" w:eastAsia="ar-SA"/>
    </w:rPr>
  </w:style>
  <w:style w:type="paragraph" w:styleId="a7">
    <w:name w:val="No Spacing"/>
    <w:uiPriority w:val="99"/>
    <w:qFormat/>
    <w:rsid w:val="00417014"/>
    <w:pPr>
      <w:suppressAutoHyphens/>
      <w:spacing w:after="0" w:line="240" w:lineRule="auto"/>
      <w:jc w:val="both"/>
    </w:pPr>
    <w:rPr>
      <w:rFonts w:ascii="Calibri" w:eastAsia="Arial" w:hAnsi="Calibri" w:cs="Calibri"/>
      <w:lang w:eastAsia="ar-SA"/>
    </w:rPr>
  </w:style>
  <w:style w:type="paragraph" w:styleId="a8">
    <w:name w:val="List Paragraph"/>
    <w:basedOn w:val="a"/>
    <w:uiPriority w:val="34"/>
    <w:qFormat/>
    <w:rsid w:val="00417014"/>
    <w:pPr>
      <w:suppressAutoHyphens w:val="0"/>
      <w:ind w:left="720"/>
      <w:contextualSpacing/>
    </w:pPr>
    <w:rPr>
      <w:lang w:eastAsia="bg-BG"/>
    </w:rPr>
  </w:style>
  <w:style w:type="character" w:customStyle="1" w:styleId="a9">
    <w:name w:val="Основен текст_"/>
    <w:link w:val="1"/>
    <w:locked/>
    <w:rsid w:val="00417014"/>
    <w:rPr>
      <w:sz w:val="24"/>
      <w:szCs w:val="24"/>
      <w:lang w:val="en-GB"/>
    </w:rPr>
  </w:style>
  <w:style w:type="paragraph" w:customStyle="1" w:styleId="1">
    <w:name w:val="Основен текст1"/>
    <w:basedOn w:val="a"/>
    <w:link w:val="a9"/>
    <w:rsid w:val="00417014"/>
    <w:pPr>
      <w:numPr>
        <w:numId w:val="2"/>
      </w:numPr>
      <w:suppressAutoHyphens w:val="0"/>
      <w:spacing w:line="268" w:lineRule="auto"/>
      <w:ind w:left="0" w:firstLine="397"/>
      <w:jc w:val="both"/>
    </w:pPr>
    <w:rPr>
      <w:rFonts w:asciiTheme="minorHAnsi" w:eastAsiaTheme="minorHAnsi" w:hAnsiTheme="minorHAnsi" w:cstheme="minorBidi"/>
      <w:lang w:val="en-GB" w:eastAsia="en-US"/>
    </w:rPr>
  </w:style>
  <w:style w:type="character" w:customStyle="1" w:styleId="81">
    <w:name w:val="Основен текст81"/>
    <w:uiPriority w:val="99"/>
    <w:rsid w:val="00417014"/>
    <w:rPr>
      <w:rFonts w:ascii="Arial" w:eastAsia="Arial" w:hAnsi="Arial" w:cs="Arial" w:hint="default"/>
      <w:sz w:val="21"/>
      <w:szCs w:val="21"/>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14"/>
    <w:pPr>
      <w:suppressAutoHyphens/>
      <w:spacing w:after="0" w:line="240" w:lineRule="auto"/>
    </w:pPr>
    <w:rPr>
      <w:rFonts w:ascii="Times New Roman" w:eastAsia="Times New Roman" w:hAnsi="Times New Roman" w:cs="Times New Roman"/>
      <w:sz w:val="24"/>
      <w:szCs w:val="24"/>
      <w:lang w:val="bg-BG" w:eastAsia="ar-SA"/>
    </w:rPr>
  </w:style>
  <w:style w:type="paragraph" w:styleId="2">
    <w:name w:val="heading 2"/>
    <w:aliases w:val="Heading 2 Char1,Heading 2 Char Char"/>
    <w:basedOn w:val="a"/>
    <w:next w:val="a0"/>
    <w:link w:val="20"/>
    <w:semiHidden/>
    <w:unhideWhenUsed/>
    <w:qFormat/>
    <w:rsid w:val="00417014"/>
    <w:pPr>
      <w:keepNext/>
      <w:numPr>
        <w:ilvl w:val="1"/>
        <w:numId w:val="2"/>
      </w:numPr>
      <w:spacing w:before="240" w:after="120"/>
      <w:outlineLvl w:val="1"/>
    </w:pPr>
    <w:rPr>
      <w:rFonts w:eastAsia="SimSun" w:cs="Mang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aliases w:val="Heading 2 Char1 Знак,Heading 2 Char Char Знак"/>
    <w:basedOn w:val="a1"/>
    <w:link w:val="2"/>
    <w:semiHidden/>
    <w:rsid w:val="00417014"/>
    <w:rPr>
      <w:rFonts w:ascii="Times New Roman" w:eastAsia="SimSun" w:hAnsi="Times New Roman" w:cs="Mangal"/>
      <w:sz w:val="36"/>
      <w:szCs w:val="36"/>
      <w:lang w:val="bg-BG" w:eastAsia="ar-SA"/>
    </w:rPr>
  </w:style>
  <w:style w:type="paragraph" w:styleId="a0">
    <w:name w:val="Body Text"/>
    <w:aliases w:val="block style"/>
    <w:basedOn w:val="a"/>
    <w:link w:val="a4"/>
    <w:semiHidden/>
    <w:unhideWhenUsed/>
    <w:rsid w:val="00417014"/>
    <w:pPr>
      <w:spacing w:after="120"/>
    </w:pPr>
  </w:style>
  <w:style w:type="character" w:customStyle="1" w:styleId="a4">
    <w:name w:val="Основен текст Знак"/>
    <w:aliases w:val="block style Знак"/>
    <w:basedOn w:val="a1"/>
    <w:link w:val="a0"/>
    <w:semiHidden/>
    <w:rsid w:val="00417014"/>
    <w:rPr>
      <w:rFonts w:ascii="Times New Roman" w:eastAsia="Times New Roman" w:hAnsi="Times New Roman" w:cs="Times New Roman"/>
      <w:sz w:val="24"/>
      <w:szCs w:val="24"/>
      <w:lang w:val="bg-BG" w:eastAsia="ar-SA"/>
    </w:rPr>
  </w:style>
  <w:style w:type="paragraph" w:styleId="a5">
    <w:name w:val="header"/>
    <w:basedOn w:val="a"/>
    <w:link w:val="a6"/>
    <w:uiPriority w:val="99"/>
    <w:semiHidden/>
    <w:unhideWhenUsed/>
    <w:rsid w:val="00417014"/>
    <w:pPr>
      <w:tabs>
        <w:tab w:val="center" w:pos="4536"/>
        <w:tab w:val="right" w:pos="9072"/>
      </w:tabs>
    </w:pPr>
  </w:style>
  <w:style w:type="character" w:customStyle="1" w:styleId="a6">
    <w:name w:val="Горен колонтитул Знак"/>
    <w:basedOn w:val="a1"/>
    <w:link w:val="a5"/>
    <w:uiPriority w:val="99"/>
    <w:semiHidden/>
    <w:rsid w:val="00417014"/>
    <w:rPr>
      <w:rFonts w:ascii="Times New Roman" w:eastAsia="Times New Roman" w:hAnsi="Times New Roman" w:cs="Times New Roman"/>
      <w:sz w:val="24"/>
      <w:szCs w:val="24"/>
      <w:lang w:val="bg-BG" w:eastAsia="ar-SA"/>
    </w:rPr>
  </w:style>
  <w:style w:type="paragraph" w:styleId="a7">
    <w:name w:val="No Spacing"/>
    <w:uiPriority w:val="99"/>
    <w:qFormat/>
    <w:rsid w:val="00417014"/>
    <w:pPr>
      <w:suppressAutoHyphens/>
      <w:spacing w:after="0" w:line="240" w:lineRule="auto"/>
      <w:jc w:val="both"/>
    </w:pPr>
    <w:rPr>
      <w:rFonts w:ascii="Calibri" w:eastAsia="Arial" w:hAnsi="Calibri" w:cs="Calibri"/>
      <w:lang w:eastAsia="ar-SA"/>
    </w:rPr>
  </w:style>
  <w:style w:type="paragraph" w:styleId="a8">
    <w:name w:val="List Paragraph"/>
    <w:basedOn w:val="a"/>
    <w:uiPriority w:val="34"/>
    <w:qFormat/>
    <w:rsid w:val="00417014"/>
    <w:pPr>
      <w:suppressAutoHyphens w:val="0"/>
      <w:ind w:left="720"/>
      <w:contextualSpacing/>
    </w:pPr>
    <w:rPr>
      <w:lang w:eastAsia="bg-BG"/>
    </w:rPr>
  </w:style>
  <w:style w:type="character" w:customStyle="1" w:styleId="a9">
    <w:name w:val="Основен текст_"/>
    <w:link w:val="1"/>
    <w:locked/>
    <w:rsid w:val="00417014"/>
    <w:rPr>
      <w:sz w:val="24"/>
      <w:szCs w:val="24"/>
      <w:lang w:val="en-GB"/>
    </w:rPr>
  </w:style>
  <w:style w:type="paragraph" w:customStyle="1" w:styleId="1">
    <w:name w:val="Основен текст1"/>
    <w:basedOn w:val="a"/>
    <w:link w:val="a9"/>
    <w:rsid w:val="00417014"/>
    <w:pPr>
      <w:numPr>
        <w:numId w:val="2"/>
      </w:numPr>
      <w:suppressAutoHyphens w:val="0"/>
      <w:spacing w:line="268" w:lineRule="auto"/>
      <w:ind w:left="0" w:firstLine="397"/>
      <w:jc w:val="both"/>
    </w:pPr>
    <w:rPr>
      <w:rFonts w:asciiTheme="minorHAnsi" w:eastAsiaTheme="minorHAnsi" w:hAnsiTheme="minorHAnsi" w:cstheme="minorBidi"/>
      <w:lang w:val="en-GB" w:eastAsia="en-US"/>
    </w:rPr>
  </w:style>
  <w:style w:type="character" w:customStyle="1" w:styleId="81">
    <w:name w:val="Основен текст81"/>
    <w:uiPriority w:val="99"/>
    <w:rsid w:val="00417014"/>
    <w:rPr>
      <w:rFonts w:ascii="Arial" w:eastAsia="Arial" w:hAnsi="Arial" w:cs="Arial" w:hint="default"/>
      <w:sz w:val="21"/>
      <w:szCs w:val="21"/>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167383">
      <w:bodyDiv w:val="1"/>
      <w:marLeft w:val="0"/>
      <w:marRight w:val="0"/>
      <w:marTop w:val="0"/>
      <w:marBottom w:val="0"/>
      <w:divBdr>
        <w:top w:val="none" w:sz="0" w:space="0" w:color="auto"/>
        <w:left w:val="none" w:sz="0" w:space="0" w:color="auto"/>
        <w:bottom w:val="none" w:sz="0" w:space="0" w:color="auto"/>
        <w:right w:val="none" w:sz="0" w:space="0" w:color="auto"/>
      </w:divBdr>
    </w:div>
    <w:div w:id="19774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5632</Characters>
  <Application>Microsoft Office Word</Application>
  <DocSecurity>0</DocSecurity>
  <Lines>46</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University of Ruse</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ruuser</dc:creator>
  <cp:lastModifiedBy>VCekov-lap</cp:lastModifiedBy>
  <cp:revision>5</cp:revision>
  <dcterms:created xsi:type="dcterms:W3CDTF">2018-12-29T12:19:00Z</dcterms:created>
  <dcterms:modified xsi:type="dcterms:W3CDTF">2019-10-13T10:20:00Z</dcterms:modified>
</cp:coreProperties>
</file>