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110"/>
      </w:tblGrid>
      <w:tr w:rsidR="006043DF" w:rsidRPr="00F059BC" w:rsidTr="00D42494">
        <w:tc>
          <w:tcPr>
            <w:tcW w:w="1101" w:type="dxa"/>
            <w:tcBorders>
              <w:bottom w:val="single" w:sz="18" w:space="0" w:color="000000"/>
            </w:tcBorders>
          </w:tcPr>
          <w:p w:rsidR="006043DF" w:rsidRPr="00F059BC" w:rsidRDefault="006043DF" w:rsidP="006043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object w:dxaOrig="720" w:dyaOrig="7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6.85pt" o:ole="">
                  <v:imagedata r:id="rId7" o:title=""/>
                </v:shape>
                <o:OLEObject Type="Embed" ProgID="CorelDRAW.Graphic.6" ShapeID="_x0000_i1025" DrawAspect="Content" ObjectID="_1638461075" r:id="rId8"/>
              </w:object>
            </w:r>
          </w:p>
        </w:tc>
        <w:tc>
          <w:tcPr>
            <w:tcW w:w="8110" w:type="dxa"/>
            <w:tcBorders>
              <w:bottom w:val="single" w:sz="18" w:space="0" w:color="000000"/>
            </w:tcBorders>
            <w:vAlign w:val="center"/>
          </w:tcPr>
          <w:p w:rsidR="006043DF" w:rsidRPr="00F059BC" w:rsidRDefault="006043DF" w:rsidP="00604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>АГРАРЕН УНИВЕРСИТЕТ - ПЛОВДИВ</w:t>
            </w:r>
          </w:p>
        </w:tc>
      </w:tr>
      <w:tr w:rsidR="006043DF" w:rsidRPr="00F059BC" w:rsidTr="00D42494">
        <w:tc>
          <w:tcPr>
            <w:tcW w:w="1101" w:type="dxa"/>
            <w:tcBorders>
              <w:top w:val="thinThickSmallGap" w:sz="18" w:space="0" w:color="auto"/>
            </w:tcBorders>
          </w:tcPr>
          <w:p w:rsidR="006043DF" w:rsidRPr="00F059BC" w:rsidRDefault="006043DF" w:rsidP="006043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110" w:type="dxa"/>
            <w:tcBorders>
              <w:top w:val="thinThickSmallGap" w:sz="18" w:space="0" w:color="auto"/>
            </w:tcBorders>
            <w:vAlign w:val="center"/>
          </w:tcPr>
          <w:p w:rsidR="006043DF" w:rsidRPr="003970F1" w:rsidRDefault="00D209CC" w:rsidP="00604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kern w:val="1"/>
                <w:sz w:val="20"/>
                <w:szCs w:val="20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Център за научни изследвания, трансфер на технологии и защита на интелектуалната собственост (ЦНИ)  </w:t>
            </w:r>
          </w:p>
        </w:tc>
      </w:tr>
      <w:tr w:rsidR="006043DF" w:rsidRPr="00F059BC" w:rsidTr="00D42494">
        <w:tc>
          <w:tcPr>
            <w:tcW w:w="1101" w:type="dxa"/>
          </w:tcPr>
          <w:p w:rsidR="006043DF" w:rsidRPr="00F059BC" w:rsidRDefault="006043DF" w:rsidP="006043D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110" w:type="dxa"/>
            <w:vAlign w:val="center"/>
          </w:tcPr>
          <w:p w:rsidR="006043DF" w:rsidRPr="003970F1" w:rsidRDefault="006043DF" w:rsidP="006043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kern w:val="1"/>
                <w:sz w:val="16"/>
                <w:szCs w:val="16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4000 Пловдив</w:t>
            </w:r>
            <w:r w:rsidRPr="00F059BC">
              <w:rPr>
                <w:rFonts w:ascii="Times New Roman" w:eastAsia="Times New Roman" w:hAnsi="Times New Roman" w:cs="Times New Roman"/>
                <w:caps/>
                <w:kern w:val="1"/>
                <w:sz w:val="16"/>
                <w:szCs w:val="16"/>
                <w:lang w:val="ru-RU" w:eastAsia="ar-SA"/>
              </w:rPr>
              <w:t xml:space="preserve">, 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ул. “Менделеев” №12</w:t>
            </w:r>
            <w:r w:rsidRPr="00F059BC">
              <w:rPr>
                <w:rFonts w:ascii="Times New Roman" w:eastAsia="Times New Roman" w:hAnsi="Times New Roman" w:cs="Times New Roman"/>
                <w:caps/>
                <w:kern w:val="1"/>
                <w:sz w:val="16"/>
                <w:szCs w:val="16"/>
                <w:lang w:val="ru-RU" w:eastAsia="ar-SA"/>
              </w:rPr>
              <w:t xml:space="preserve">, </w:t>
            </w:r>
            <w:hyperlink r:id="rId9" w:history="1">
              <w:r w:rsidRPr="00F059BC">
                <w:rPr>
                  <w:rFonts w:ascii="Times New Roman" w:eastAsia="Times New Roman" w:hAnsi="Times New Roman" w:cs="Times New Roman"/>
                  <w:color w:val="0000FF"/>
                  <w:kern w:val="1"/>
                  <w:sz w:val="16"/>
                  <w:szCs w:val="16"/>
                  <w:lang w:val="fr-FR" w:eastAsia="ar-SA"/>
                </w:rPr>
                <w:t>www.au-plovdiv.bg</w:t>
              </w:r>
            </w:hyperlink>
            <w:r w:rsidRPr="00F059BC">
              <w:rPr>
                <w:rFonts w:ascii="Times New Roman" w:eastAsia="Times New Roman" w:hAnsi="Times New Roman" w:cs="Times New Roman"/>
                <w:caps/>
                <w:kern w:val="1"/>
                <w:sz w:val="16"/>
                <w:szCs w:val="16"/>
                <w:lang w:val="ru-RU" w:eastAsia="ar-SA"/>
              </w:rPr>
              <w:t xml:space="preserve">, </w:t>
            </w:r>
            <w:proofErr w:type="gramStart"/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е</w:t>
            </w:r>
            <w:proofErr w:type="gramEnd"/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ar-SA"/>
              </w:rPr>
              <w:t>-mail:nic_au_plovdiv@abv.bg</w:t>
            </w:r>
            <w:r w:rsidRPr="00F059BC">
              <w:rPr>
                <w:rFonts w:ascii="Times New Roman" w:eastAsia="Times New Roman" w:hAnsi="Times New Roman" w:cs="Times New Roman"/>
                <w:caps/>
                <w:kern w:val="1"/>
                <w:sz w:val="16"/>
                <w:szCs w:val="16"/>
                <w:lang w:val="ru-RU" w:eastAsia="ar-SA"/>
              </w:rPr>
              <w:t>,</w:t>
            </w:r>
            <w:r w:rsidRPr="00F059BC">
              <w:rPr>
                <w:rFonts w:ascii="Times New Roman" w:eastAsia="Times New Roman" w:hAnsi="Times New Roman" w:cs="Times New Roman"/>
                <w:caps/>
                <w:kern w:val="1"/>
                <w:sz w:val="16"/>
                <w:szCs w:val="16"/>
                <w:lang w:val="ru-RU" w:eastAsia="ar-SA"/>
              </w:rPr>
              <w:br/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тел.: 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+359 32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ar-SA"/>
              </w:rPr>
              <w:t> 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654 300</w:t>
            </w:r>
            <w:r w:rsidRPr="00F059BC">
              <w:rPr>
                <w:rFonts w:ascii="Times New Roman" w:eastAsia="Times New Roman" w:hAnsi="Times New Roman" w:cs="Times New Roman"/>
                <w:caps/>
                <w:kern w:val="1"/>
                <w:sz w:val="16"/>
                <w:szCs w:val="16"/>
                <w:lang w:val="ru-RU" w:eastAsia="ar-SA"/>
              </w:rPr>
              <w:t xml:space="preserve">, 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>тел./Факс: +359 32 654 420</w:t>
            </w:r>
            <w:r w:rsidRPr="003970F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,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ar-SA"/>
              </w:rPr>
              <w:t xml:space="preserve"> тел.: 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+359 32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ar-SA"/>
              </w:rPr>
              <w:t> </w:t>
            </w:r>
            <w:r w:rsidRPr="00F059BC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654 </w:t>
            </w:r>
            <w:r w:rsidRPr="003970F1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ru-RU" w:eastAsia="ar-SA"/>
              </w:rPr>
              <w:t>427</w:t>
            </w:r>
          </w:p>
        </w:tc>
      </w:tr>
    </w:tbl>
    <w:p w:rsidR="00784409" w:rsidRDefault="00784409" w:rsidP="007844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:rsidR="00711354" w:rsidRPr="00F059BC" w:rsidRDefault="00711354" w:rsidP="007844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ДОПЪЛНИТЕЛНО СПОРАЗУМЕНИЕ</w:t>
      </w:r>
    </w:p>
    <w:p w:rsidR="00711354" w:rsidRPr="00F059BC" w:rsidRDefault="00711354" w:rsidP="00784409">
      <w:pPr>
        <w:suppressAutoHyphens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>към научни проекти, финансирани от АУ</w:t>
      </w:r>
      <w:r w:rsidR="00D209CC"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>-Пловдив</w:t>
      </w:r>
    </w:p>
    <w:p w:rsidR="00711354" w:rsidRPr="00F059BC" w:rsidRDefault="00711354" w:rsidP="00D209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Днес................................................ в изпълнение на договор № ............... се сключи</w:t>
      </w:r>
    </w:p>
    <w:p w:rsidR="0003142F" w:rsidRPr="00F059BC" w:rsidRDefault="0003142F" w:rsidP="00D20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</w:pPr>
    </w:p>
    <w:p w:rsidR="00711354" w:rsidRPr="00F059BC" w:rsidRDefault="00711354" w:rsidP="00D209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>Допълнително споразумение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между:</w:t>
      </w:r>
    </w:p>
    <w:p w:rsidR="00711354" w:rsidRPr="00F059BC" w:rsidRDefault="00711354" w:rsidP="00D209CC">
      <w:pPr>
        <w:tabs>
          <w:tab w:val="left" w:pos="3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Аграрен университет - Пловдив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представляван от ректора проф. д-р Христина Янчева и гл. счетоводител Росица Христева, наричани в договора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ВЪЗЛОЖИТЕЛ.</w:t>
      </w:r>
    </w:p>
    <w:p w:rsidR="00711354" w:rsidRPr="00F059BC" w:rsidRDefault="00711354" w:rsidP="00D209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</w:t>
      </w:r>
      <w:r w:rsidRPr="003970F1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Научен колектив, представляван от ръководителя на проекта ......................................................................................................................................,</w:t>
      </w:r>
    </w:p>
    <w:p w:rsidR="00711354" w:rsidRPr="00F059BC" w:rsidRDefault="00711354" w:rsidP="00D209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наричан в договора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ИЗПЪЛНИТЕЛ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</w:t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ЦНИ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при АУ - Пловдив, представляван от </w:t>
      </w:r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 на </w:t>
      </w:r>
      <w:proofErr w:type="spellStart"/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>управителния</w:t>
      </w:r>
      <w:proofErr w:type="spellEnd"/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 xml:space="preserve"> на ЦНИТТЗИС – проф. д-р Иван </w:t>
      </w:r>
      <w:proofErr w:type="spellStart"/>
      <w:r w:rsidR="00AB18AF" w:rsidRPr="00AB18AF">
        <w:rPr>
          <w:rFonts w:ascii="Times New Roman" w:hAnsi="Times New Roman" w:cs="Times New Roman"/>
          <w:sz w:val="24"/>
          <w:szCs w:val="24"/>
          <w:lang w:val="ru-RU"/>
        </w:rPr>
        <w:t>Манолов</w:t>
      </w:r>
      <w:proofErr w:type="spellEnd"/>
      <w:r w:rsidRPr="00AB18AF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AB18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отг.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счетоводител Мария Механджийска, наричани по-нататък </w:t>
      </w:r>
      <w:r w:rsidR="0003142F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ОБСЛУЖВАЩО ЗВЕНО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договора, за следното:</w:t>
      </w:r>
    </w:p>
    <w:p w:rsidR="00711354" w:rsidRPr="00F059BC" w:rsidRDefault="00711354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Продължава изпълнението на следващия етап от работната про</w:t>
      </w:r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грама на научния проект през 20</w:t>
      </w:r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20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г.</w:t>
      </w:r>
    </w:p>
    <w:p w:rsidR="00711354" w:rsidRPr="00F059BC" w:rsidRDefault="00711354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 изпълнение на програмата е отпусната сумата от ......................... лв.</w:t>
      </w:r>
    </w:p>
    <w:p w:rsidR="00711354" w:rsidRPr="00784409" w:rsidRDefault="00711354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 ползване на средствата се актуализира финансовия план (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Приложение 1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договора).</w:t>
      </w:r>
    </w:p>
    <w:p w:rsidR="00784409" w:rsidRPr="004335FC" w:rsidRDefault="00784409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4.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Неусвоените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средства от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предходната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година не се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прехвърлят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за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следващата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.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Изключения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се правят за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суми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предвидени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за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заявена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поръчка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за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закупуване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на техника или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мотивиран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доклад </w:t>
      </w:r>
      <w:r w:rsidR="007B5F38"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от </w:t>
      </w:r>
      <w:proofErr w:type="spellStart"/>
      <w:r w:rsidR="007B5F38"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ръководителя</w:t>
      </w:r>
      <w:proofErr w:type="spellEnd"/>
      <w:r w:rsidR="007B5F38"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на проекта </w:t>
      </w:r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за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прехвърляне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на средства </w:t>
      </w:r>
      <w:proofErr w:type="gram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за</w:t>
      </w:r>
      <w:proofErr w:type="gram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следващата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финансова</w:t>
      </w:r>
      <w:proofErr w:type="spellEnd"/>
      <w:r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година.</w:t>
      </w:r>
      <w:r w:rsidR="007B5F38" w:rsidRPr="004335F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</w:p>
    <w:p w:rsidR="00711354" w:rsidRPr="00F059BC" w:rsidRDefault="00784409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5</w:t>
      </w:r>
      <w:r w:rsidR="00711354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  <w:r w:rsidR="00711354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 извършване на контрол върху изпълнението на договора се попълва </w:t>
      </w:r>
      <w:r w:rsidR="00711354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Приложение 2</w:t>
      </w:r>
      <w:r w:rsidR="00711354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11354" w:rsidRPr="00F059BC" w:rsidRDefault="00784409" w:rsidP="0071135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6</w:t>
      </w:r>
      <w:r w:rsidR="00711354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Неразделна част от споразумението е декларацията на ръководителя във връзка с изпълнение на проекта </w:t>
      </w:r>
      <w:r w:rsidR="00711354"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(</w:t>
      </w:r>
      <w:r w:rsidR="00711354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Приложение 3</w:t>
      </w:r>
      <w:r w:rsidR="00711354"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).</w:t>
      </w:r>
    </w:p>
    <w:p w:rsidR="00711354" w:rsidRPr="00F059BC" w:rsidRDefault="00711354" w:rsidP="00711354">
      <w:pPr>
        <w:suppressAutoHyphens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Договарящи страни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ВЪЗЛОЖИТЕЛ:                       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D209CC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="00D209CC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ИЗПЪЛНИТЕЛ: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Аграрен университет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</w:t>
      </w:r>
      <w:r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                </w:t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Ръководител на научния проект:.......................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(проф. д-р Христина Янчева)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</w:t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D209CC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Оперативен ръководител на проекта</w:t>
      </w:r>
      <w:r w:rsidR="00F9159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: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(гл. счетов. Р. Христева)</w:t>
      </w:r>
    </w:p>
    <w:p w:rsidR="00D209CC" w:rsidRPr="00F059BC" w:rsidRDefault="00D209CC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11354" w:rsidRPr="007A6EC5" w:rsidRDefault="00D209CC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val="en-US"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ОБСЛУЖВАЩО ЗВЕНО – ЦНИ </w:t>
      </w:r>
      <w:r w:rsidR="00711354"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при АУ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-Пловдив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</w:p>
    <w:p w:rsidR="00711354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en-US" w:eastAsia="ar-SA"/>
        </w:rPr>
      </w:pPr>
      <w:r w:rsidRPr="00AB1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(</w:t>
      </w:r>
      <w:r w:rsidR="00AB18AF" w:rsidRPr="00AB18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проф. д-р Ив. </w:t>
      </w:r>
      <w:proofErr w:type="spellStart"/>
      <w:proofErr w:type="gramStart"/>
      <w:r w:rsidR="00AB18AF" w:rsidRPr="00AB18A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Манолов</w:t>
      </w:r>
      <w:proofErr w:type="spellEnd"/>
      <w:r w:rsidRPr="00AB18AF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)</w:t>
      </w:r>
      <w:proofErr w:type="gramEnd"/>
    </w:p>
    <w:p w:rsidR="007A6EC5" w:rsidRPr="007A6EC5" w:rsidRDefault="007A6EC5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val="en-US" w:eastAsia="ar-SA"/>
        </w:rPr>
      </w:pP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</w:p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(отг. счетов. М. Механджийска)</w:t>
      </w:r>
    </w:p>
    <w:p w:rsidR="00711354" w:rsidRPr="00F059BC" w:rsidRDefault="00711354" w:rsidP="00711354">
      <w:pPr>
        <w:suppressAutoHyphens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 w:type="page"/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Приложение</w:t>
      </w:r>
      <w:r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eastAsia="ar-SA"/>
        </w:rPr>
        <w:t xml:space="preserve"> </w:t>
      </w:r>
      <w:r w:rsidRPr="00F059BC"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val="ru-RU" w:eastAsia="ar-SA"/>
        </w:rPr>
        <w:t>1</w:t>
      </w:r>
    </w:p>
    <w:p w:rsidR="00711354" w:rsidRPr="00F059BC" w:rsidRDefault="00711354" w:rsidP="00711354">
      <w:pPr>
        <w:suppressAutoHyphens/>
        <w:spacing w:after="0" w:line="360" w:lineRule="auto"/>
        <w:ind w:left="709" w:firstLine="709"/>
        <w:rPr>
          <w:rFonts w:ascii="Times New Roman" w:eastAsia="Times New Roman" w:hAnsi="Times New Roman" w:cs="Times New Roman"/>
          <w:b/>
          <w:spacing w:val="100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spacing w:val="100"/>
          <w:kern w:val="1"/>
          <w:sz w:val="24"/>
          <w:szCs w:val="24"/>
          <w:lang w:eastAsia="ar-SA"/>
        </w:rPr>
        <w:t>ФИНАНСОВ ПЛАН НА ПРОЕКТА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11354" w:rsidRPr="00F059BC" w:rsidTr="00D42494">
        <w:tc>
          <w:tcPr>
            <w:tcW w:w="2660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11354" w:rsidRPr="00F059BC" w:rsidRDefault="00711354" w:rsidP="00711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11354" w:rsidRPr="00F059BC" w:rsidRDefault="00711354" w:rsidP="00711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1354" w:rsidRPr="00F059BC" w:rsidTr="00D42494">
        <w:tc>
          <w:tcPr>
            <w:tcW w:w="2660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11354" w:rsidRPr="00F059BC" w:rsidTr="00D42494">
        <w:tc>
          <w:tcPr>
            <w:tcW w:w="2660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Ръководител:</w:t>
            </w:r>
          </w:p>
        </w:tc>
        <w:tc>
          <w:tcPr>
            <w:tcW w:w="7070" w:type="dxa"/>
            <w:shd w:val="clear" w:color="auto" w:fill="FFFFFF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711354" w:rsidRPr="00F059BC" w:rsidRDefault="00711354" w:rsidP="0071135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258"/>
      </w:tblGrid>
      <w:tr w:rsidR="00711354" w:rsidRPr="00F059BC" w:rsidTr="00D42494">
        <w:tc>
          <w:tcPr>
            <w:tcW w:w="9730" w:type="dxa"/>
            <w:gridSpan w:val="2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За текущата финансова година: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BD5ED9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en-US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Апаратура и оборудване (до 40% от общата стойност на проекта)</w:t>
            </w:r>
            <w:r w:rsidR="00BD5ED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*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Материали, химикали, образци, консумативи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Информационни продукти и услуги (литература, патенти, компютърно време)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Командировки: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Заплащане на звена подизпълнители за извършване на научно-помощни действия по проекта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Лабораторни разходи: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АУ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външни организации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Публикуване на резултати от изследванията и др.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Канцеларски разходи, копирни услуги и др.  (до 5 % от общата стойност на договора)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shd w:val="clear" w:color="auto" w:fill="FFFFFF"/>
            <w:vAlign w:val="center"/>
          </w:tcPr>
          <w:p w:rsidR="00711354" w:rsidRPr="00F059BC" w:rsidRDefault="0003142F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Отчисления за ЦНИ </w:t>
            </w:r>
            <w:r w:rsidR="00711354"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(10% от общата сума)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1354" w:rsidRPr="003970F1" w:rsidRDefault="00711354" w:rsidP="00374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Други</w:t>
            </w:r>
            <w:r w:rsidR="00374B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74B7F" w:rsidRPr="00374B7F">
              <w:rPr>
                <w:rFonts w:ascii="Times New Roman" w:hAnsi="Times New Roman"/>
                <w:sz w:val="24"/>
                <w:szCs w:val="24"/>
              </w:rPr>
              <w:t>(посочва се какви други разходи се очаква да се направят):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  <w:tr w:rsidR="00711354" w:rsidRPr="00F059BC" w:rsidTr="00D42494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Общо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лв.</w:t>
            </w:r>
          </w:p>
        </w:tc>
      </w:tr>
    </w:tbl>
    <w:p w:rsidR="00BD5ED9" w:rsidRPr="00945BCB" w:rsidRDefault="00BD5ED9" w:rsidP="00BD5ED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45BCB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Посочва се</w:t>
      </w:r>
      <w:r w:rsidRPr="00945BCB">
        <w:rPr>
          <w:rFonts w:ascii="Times New Roman" w:hAnsi="Times New Roman"/>
          <w:sz w:val="24"/>
          <w:szCs w:val="24"/>
        </w:rPr>
        <w:t xml:space="preserve"> апаратурата и оборудването, която се предвижда да се закупи и приблизителната ѝ цена.</w:t>
      </w:r>
    </w:p>
    <w:p w:rsidR="00711354" w:rsidRPr="00F059BC" w:rsidRDefault="00711354" w:rsidP="00711354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Приложение 2</w:t>
      </w:r>
    </w:p>
    <w:p w:rsidR="00711354" w:rsidRPr="00F059BC" w:rsidRDefault="00711354" w:rsidP="00711354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kern w:val="1"/>
          <w:sz w:val="24"/>
          <w:szCs w:val="24"/>
          <w:lang w:val="en-US" w:eastAsia="ar-SA"/>
        </w:rPr>
      </w:pP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28"/>
        <w:gridCol w:w="7102"/>
      </w:tblGrid>
      <w:tr w:rsidR="00711354" w:rsidRPr="00F059BC" w:rsidTr="00D42494">
        <w:tc>
          <w:tcPr>
            <w:tcW w:w="2628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Тема:</w:t>
            </w:r>
          </w:p>
        </w:tc>
        <w:tc>
          <w:tcPr>
            <w:tcW w:w="7102" w:type="dxa"/>
            <w:shd w:val="clear" w:color="auto" w:fill="FFFFFF"/>
          </w:tcPr>
          <w:p w:rsidR="00711354" w:rsidRPr="00F059BC" w:rsidRDefault="00711354" w:rsidP="00711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711354" w:rsidRPr="00F059BC" w:rsidRDefault="00711354" w:rsidP="0071135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11354" w:rsidRPr="00F059BC" w:rsidTr="00D42494">
        <w:tc>
          <w:tcPr>
            <w:tcW w:w="2628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Регистрационен №:</w:t>
            </w:r>
          </w:p>
        </w:tc>
        <w:tc>
          <w:tcPr>
            <w:tcW w:w="7102" w:type="dxa"/>
            <w:shd w:val="clear" w:color="auto" w:fill="FFFFFF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11354" w:rsidRPr="00F059BC" w:rsidTr="00D42494">
        <w:tc>
          <w:tcPr>
            <w:tcW w:w="2628" w:type="dxa"/>
            <w:shd w:val="clear" w:color="auto" w:fill="EEECE1"/>
            <w:vAlign w:val="center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059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Ръководител:</w:t>
            </w:r>
          </w:p>
        </w:tc>
        <w:tc>
          <w:tcPr>
            <w:tcW w:w="7102" w:type="dxa"/>
            <w:shd w:val="clear" w:color="auto" w:fill="FFFFFF"/>
          </w:tcPr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  <w:p w:rsidR="00711354" w:rsidRPr="00F059BC" w:rsidRDefault="00711354" w:rsidP="0071135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:rsidR="00711354" w:rsidRPr="00F059BC" w:rsidRDefault="00711354" w:rsidP="00711354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Срок за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контрол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на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междинните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резултати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през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отчетната</w:t>
      </w:r>
      <w:proofErr w:type="spellEnd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година </w:t>
      </w:r>
      <w:r w:rsidRPr="00F059BC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(</w:t>
      </w:r>
      <w:proofErr w:type="spellStart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>ръководителят</w:t>
      </w:r>
      <w:proofErr w:type="spellEnd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 xml:space="preserve"> </w:t>
      </w:r>
      <w:proofErr w:type="gramStart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>на</w:t>
      </w:r>
      <w:proofErr w:type="gramEnd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 xml:space="preserve"> </w:t>
      </w:r>
      <w:proofErr w:type="gramStart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>проекта</w:t>
      </w:r>
      <w:proofErr w:type="gramEnd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 xml:space="preserve"> </w:t>
      </w:r>
      <w:proofErr w:type="spellStart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>посочва</w:t>
      </w:r>
      <w:proofErr w:type="spellEnd"/>
      <w:r w:rsidRPr="00F059BC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val="ru-RU" w:eastAsia="ar-SA"/>
        </w:rPr>
        <w:t xml:space="preserve"> периода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) </w:t>
      </w:r>
      <w:proofErr w:type="spellStart"/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юни</w:t>
      </w:r>
      <w:proofErr w:type="spellEnd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– юли; </w:t>
      </w:r>
      <w:proofErr w:type="spellStart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септември</w:t>
      </w:r>
      <w:proofErr w:type="spellEnd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– </w:t>
      </w:r>
      <w:proofErr w:type="spellStart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октомври</w:t>
      </w:r>
      <w:proofErr w:type="spellEnd"/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20</w:t>
      </w:r>
      <w:r w:rsidR="00320D7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20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г.</w:t>
      </w:r>
    </w:p>
    <w:p w:rsidR="00711354" w:rsidRPr="00F059BC" w:rsidRDefault="00711354" w:rsidP="00711354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Срок за отчет на</w:t>
      </w:r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годишните</w:t>
      </w:r>
      <w:proofErr w:type="spellEnd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proofErr w:type="spellStart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резултати</w:t>
      </w:r>
      <w:proofErr w:type="spellEnd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– </w:t>
      </w:r>
      <w:proofErr w:type="spellStart"/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декември</w:t>
      </w:r>
      <w:proofErr w:type="spellEnd"/>
      <w:r w:rsidR="004A095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20..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="008847D8" w:rsidRPr="003970F1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 xml:space="preserve">– </w:t>
      </w:r>
      <w:r w:rsidR="004A095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януари 20..</w:t>
      </w:r>
      <w:r w:rsidR="008847D8" w:rsidRPr="00F059B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059BC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г.</w:t>
      </w:r>
    </w:p>
    <w:p w:rsidR="00711354" w:rsidRDefault="00711354" w:rsidP="00711354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p w:rsidR="00F91591" w:rsidRPr="00F059BC" w:rsidRDefault="00F91591" w:rsidP="00711354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</w:pPr>
    </w:p>
    <w:sectPr w:rsidR="00F91591" w:rsidRPr="00F059BC" w:rsidSect="007A6E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54"/>
    <w:rsid w:val="0003142F"/>
    <w:rsid w:val="000A419C"/>
    <w:rsid w:val="00134787"/>
    <w:rsid w:val="00320D7F"/>
    <w:rsid w:val="0037436A"/>
    <w:rsid w:val="00374B7F"/>
    <w:rsid w:val="00381836"/>
    <w:rsid w:val="003970F1"/>
    <w:rsid w:val="003E34EA"/>
    <w:rsid w:val="003F0337"/>
    <w:rsid w:val="004335FC"/>
    <w:rsid w:val="004A0951"/>
    <w:rsid w:val="006043DF"/>
    <w:rsid w:val="006743C2"/>
    <w:rsid w:val="00711354"/>
    <w:rsid w:val="00784409"/>
    <w:rsid w:val="007A6EC5"/>
    <w:rsid w:val="007B5F38"/>
    <w:rsid w:val="008847D8"/>
    <w:rsid w:val="00893095"/>
    <w:rsid w:val="008F4105"/>
    <w:rsid w:val="0092163E"/>
    <w:rsid w:val="00AB18AF"/>
    <w:rsid w:val="00B078B9"/>
    <w:rsid w:val="00B8712A"/>
    <w:rsid w:val="00BD5ED9"/>
    <w:rsid w:val="00C46909"/>
    <w:rsid w:val="00CA64C1"/>
    <w:rsid w:val="00D209CC"/>
    <w:rsid w:val="00D728A8"/>
    <w:rsid w:val="00DD2E5C"/>
    <w:rsid w:val="00E43092"/>
    <w:rsid w:val="00EC7C5B"/>
    <w:rsid w:val="00F059BC"/>
    <w:rsid w:val="00F9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u-plovdi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E072-1CCE-4532-886E-67414D9B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</cp:lastModifiedBy>
  <cp:revision>3</cp:revision>
  <dcterms:created xsi:type="dcterms:W3CDTF">2019-12-21T17:16:00Z</dcterms:created>
  <dcterms:modified xsi:type="dcterms:W3CDTF">2019-12-21T17:18:00Z</dcterms:modified>
</cp:coreProperties>
</file>