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110"/>
      </w:tblGrid>
      <w:tr w:rsidR="006043DF" w:rsidRPr="00F059BC" w:rsidTr="00D42494">
        <w:tc>
          <w:tcPr>
            <w:tcW w:w="1101" w:type="dxa"/>
            <w:tcBorders>
              <w:bottom w:val="single" w:sz="18" w:space="0" w:color="000000"/>
            </w:tcBorders>
          </w:tcPr>
          <w:p w:rsidR="006043DF" w:rsidRPr="00F059BC" w:rsidRDefault="006043DF" w:rsidP="00604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object w:dxaOrig="720" w:dyaOrig="7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85pt;height:36.85pt" o:ole="">
                  <v:imagedata r:id="rId7" o:title=""/>
                </v:shape>
                <o:OLEObject Type="Embed" ProgID="CorelDRAW.Graphic.6" ShapeID="_x0000_i1025" DrawAspect="Content" ObjectID="_1610432554" r:id="rId8"/>
              </w:object>
            </w:r>
          </w:p>
        </w:tc>
        <w:tc>
          <w:tcPr>
            <w:tcW w:w="8110" w:type="dxa"/>
            <w:tcBorders>
              <w:bottom w:val="single" w:sz="18" w:space="0" w:color="000000"/>
            </w:tcBorders>
            <w:vAlign w:val="center"/>
          </w:tcPr>
          <w:p w:rsidR="006043DF" w:rsidRPr="00F059BC" w:rsidRDefault="006043DF" w:rsidP="00604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32"/>
                <w:szCs w:val="32"/>
                <w:lang w:eastAsia="ar-SA"/>
              </w:rPr>
              <w:t>АГРАРЕН УНИВЕРСИТЕТ - ПЛОВДИВ</w:t>
            </w:r>
          </w:p>
        </w:tc>
      </w:tr>
      <w:tr w:rsidR="006043DF" w:rsidRPr="00F059BC" w:rsidTr="00D42494">
        <w:tc>
          <w:tcPr>
            <w:tcW w:w="1101" w:type="dxa"/>
            <w:tcBorders>
              <w:top w:val="thinThickSmallGap" w:sz="18" w:space="0" w:color="auto"/>
            </w:tcBorders>
          </w:tcPr>
          <w:p w:rsidR="006043DF" w:rsidRPr="00F059BC" w:rsidRDefault="006043DF" w:rsidP="00604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110" w:type="dxa"/>
            <w:tcBorders>
              <w:top w:val="thinThickSmallGap" w:sz="18" w:space="0" w:color="auto"/>
            </w:tcBorders>
            <w:vAlign w:val="center"/>
          </w:tcPr>
          <w:p w:rsidR="006043DF" w:rsidRPr="003970F1" w:rsidRDefault="00D209CC" w:rsidP="00604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kern w:val="1"/>
                <w:sz w:val="20"/>
                <w:szCs w:val="20"/>
                <w:lang w:val="ru-RU"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Център за научни изследвания, трансфер на технологии и защита на интелектуалната собственост (ЦНИ)  </w:t>
            </w:r>
          </w:p>
        </w:tc>
      </w:tr>
      <w:tr w:rsidR="006043DF" w:rsidRPr="00F059BC" w:rsidTr="00D42494">
        <w:tc>
          <w:tcPr>
            <w:tcW w:w="1101" w:type="dxa"/>
          </w:tcPr>
          <w:p w:rsidR="006043DF" w:rsidRPr="00F059BC" w:rsidRDefault="006043DF" w:rsidP="00604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110" w:type="dxa"/>
            <w:vAlign w:val="center"/>
          </w:tcPr>
          <w:p w:rsidR="006043DF" w:rsidRPr="003970F1" w:rsidRDefault="006043DF" w:rsidP="00604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kern w:val="1"/>
                <w:sz w:val="16"/>
                <w:szCs w:val="16"/>
                <w:lang w:val="ru-RU"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4000 Пловдив</w:t>
            </w:r>
            <w:r w:rsidRPr="00F059BC">
              <w:rPr>
                <w:rFonts w:ascii="Times New Roman" w:eastAsia="Times New Roman" w:hAnsi="Times New Roman" w:cs="Times New Roman"/>
                <w:caps/>
                <w:kern w:val="1"/>
                <w:sz w:val="16"/>
                <w:szCs w:val="16"/>
                <w:lang w:val="ru-RU" w:eastAsia="ar-SA"/>
              </w:rPr>
              <w:t xml:space="preserve">, 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ул. “Менделеев” №12</w:t>
            </w:r>
            <w:r w:rsidRPr="00F059BC">
              <w:rPr>
                <w:rFonts w:ascii="Times New Roman" w:eastAsia="Times New Roman" w:hAnsi="Times New Roman" w:cs="Times New Roman"/>
                <w:caps/>
                <w:kern w:val="1"/>
                <w:sz w:val="16"/>
                <w:szCs w:val="16"/>
                <w:lang w:val="ru-RU" w:eastAsia="ar-SA"/>
              </w:rPr>
              <w:t xml:space="preserve">, </w:t>
            </w:r>
            <w:hyperlink r:id="rId9" w:history="1">
              <w:r w:rsidRPr="00F059BC">
                <w:rPr>
                  <w:rFonts w:ascii="Times New Roman" w:eastAsia="Times New Roman" w:hAnsi="Times New Roman" w:cs="Times New Roman"/>
                  <w:color w:val="0000FF"/>
                  <w:kern w:val="1"/>
                  <w:sz w:val="16"/>
                  <w:szCs w:val="16"/>
                  <w:lang w:val="fr-FR" w:eastAsia="ar-SA"/>
                </w:rPr>
                <w:t>www.au-plovdiv.bg</w:t>
              </w:r>
            </w:hyperlink>
            <w:r w:rsidRPr="00F059BC">
              <w:rPr>
                <w:rFonts w:ascii="Times New Roman" w:eastAsia="Times New Roman" w:hAnsi="Times New Roman" w:cs="Times New Roman"/>
                <w:caps/>
                <w:kern w:val="1"/>
                <w:sz w:val="16"/>
                <w:szCs w:val="16"/>
                <w:lang w:val="ru-RU" w:eastAsia="ar-SA"/>
              </w:rPr>
              <w:t xml:space="preserve">, </w:t>
            </w:r>
            <w:proofErr w:type="gramStart"/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е</w:t>
            </w:r>
            <w:proofErr w:type="gramEnd"/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ar-SA"/>
              </w:rPr>
              <w:t>-mail:nic_au_plovdiv@abv.bg</w:t>
            </w:r>
            <w:r w:rsidRPr="00F059BC">
              <w:rPr>
                <w:rFonts w:ascii="Times New Roman" w:eastAsia="Times New Roman" w:hAnsi="Times New Roman" w:cs="Times New Roman"/>
                <w:caps/>
                <w:kern w:val="1"/>
                <w:sz w:val="16"/>
                <w:szCs w:val="16"/>
                <w:lang w:val="ru-RU" w:eastAsia="ar-SA"/>
              </w:rPr>
              <w:t>,</w:t>
            </w:r>
            <w:r w:rsidRPr="00F059BC">
              <w:rPr>
                <w:rFonts w:ascii="Times New Roman" w:eastAsia="Times New Roman" w:hAnsi="Times New Roman" w:cs="Times New Roman"/>
                <w:caps/>
                <w:kern w:val="1"/>
                <w:sz w:val="16"/>
                <w:szCs w:val="16"/>
                <w:lang w:val="ru-RU" w:eastAsia="ar-SA"/>
              </w:rPr>
              <w:br/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тел.: 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+359 32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ar-SA"/>
              </w:rPr>
              <w:t> 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654 300</w:t>
            </w:r>
            <w:r w:rsidRPr="00F059BC">
              <w:rPr>
                <w:rFonts w:ascii="Times New Roman" w:eastAsia="Times New Roman" w:hAnsi="Times New Roman" w:cs="Times New Roman"/>
                <w:caps/>
                <w:kern w:val="1"/>
                <w:sz w:val="16"/>
                <w:szCs w:val="16"/>
                <w:lang w:val="ru-RU" w:eastAsia="ar-SA"/>
              </w:rPr>
              <w:t xml:space="preserve">, 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тел./Факс: +359 32 654 420</w:t>
            </w:r>
            <w:r w:rsidRPr="003970F1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,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тел.: 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+359 32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ar-SA"/>
              </w:rPr>
              <w:t> 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654 </w:t>
            </w:r>
            <w:r w:rsidRPr="003970F1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427</w:t>
            </w:r>
          </w:p>
        </w:tc>
      </w:tr>
    </w:tbl>
    <w:p w:rsidR="00784409" w:rsidRDefault="00784409" w:rsidP="007844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</w:p>
    <w:p w:rsidR="00711354" w:rsidRPr="00F059BC" w:rsidRDefault="00711354" w:rsidP="007844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ДОПЪЛНИТЕЛНО СПОРАЗУМЕНИЕ</w:t>
      </w:r>
    </w:p>
    <w:p w:rsidR="00711354" w:rsidRPr="00F059BC" w:rsidRDefault="00711354" w:rsidP="00784409">
      <w:pPr>
        <w:suppressAutoHyphens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  <w:t>към научни проекти, финансирани от АУ</w:t>
      </w:r>
      <w:r w:rsidR="00D209CC" w:rsidRPr="00F059BC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  <w:t>-Пловдив</w:t>
      </w:r>
    </w:p>
    <w:p w:rsidR="00711354" w:rsidRPr="00F059BC" w:rsidRDefault="00711354" w:rsidP="00D209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Днес................................................ в изпълнение на договор № ............... се сключи</w:t>
      </w:r>
    </w:p>
    <w:p w:rsidR="0003142F" w:rsidRPr="00F059BC" w:rsidRDefault="0003142F" w:rsidP="00D209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</w:pPr>
    </w:p>
    <w:p w:rsidR="00711354" w:rsidRPr="00F059BC" w:rsidRDefault="00711354" w:rsidP="00D209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  <w:t>Допълнително споразумение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между:</w:t>
      </w:r>
    </w:p>
    <w:p w:rsidR="00711354" w:rsidRPr="00F059BC" w:rsidRDefault="00711354" w:rsidP="00D209CC">
      <w:pPr>
        <w:tabs>
          <w:tab w:val="left" w:pos="37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Аграрен университет - Пловдив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представляван от ректора проф. д-р Христина Янчева и гл. счетоводител Росица Христева, наричани в договора 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ВЪЗЛОЖИТЕЛ.</w:t>
      </w:r>
    </w:p>
    <w:p w:rsidR="00711354" w:rsidRPr="00F059BC" w:rsidRDefault="00711354" w:rsidP="00D209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2.</w:t>
      </w:r>
      <w:r w:rsidRPr="003970F1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 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Научен колектив, представляван от ръководителя на проекта ......................................................................................................................................,</w:t>
      </w:r>
    </w:p>
    <w:p w:rsidR="00711354" w:rsidRPr="00F059BC" w:rsidRDefault="00711354" w:rsidP="00D209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наричан в договора 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ИЗПЪЛНИТЕЛ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</w:t>
      </w:r>
      <w:r w:rsidR="00D209CC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ЦНИ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при АУ - Пловдив, представляван от проф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. дтн</w:t>
      </w:r>
      <w:proofErr w:type="gramStart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К</w:t>
      </w:r>
      <w:proofErr w:type="gramEnd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р. Иванов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отг. счетоводител Мария Механджийска, наричани по-нататък </w:t>
      </w:r>
      <w:r w:rsidR="0003142F"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ОБСЛУЖВАЩО ЗВЕНО 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договора, за следното:</w:t>
      </w:r>
    </w:p>
    <w:p w:rsidR="00711354" w:rsidRPr="00F059BC" w:rsidRDefault="00711354" w:rsidP="007113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Продължава изпълнението на следващия етап от работната програма на научния проект през 201</w:t>
      </w:r>
      <w:r w:rsidR="00B8712A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9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г.</w:t>
      </w:r>
    </w:p>
    <w:p w:rsidR="00711354" w:rsidRPr="00F059BC" w:rsidRDefault="00711354" w:rsidP="007113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 изпълнение на програмата е отпусната сумата от ......................... лв.</w:t>
      </w:r>
    </w:p>
    <w:p w:rsidR="00711354" w:rsidRPr="00784409" w:rsidRDefault="00711354" w:rsidP="007113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3.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 ползване на средствата се актуализира финансовия план (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Приложение 1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от договора).</w:t>
      </w:r>
    </w:p>
    <w:p w:rsidR="00784409" w:rsidRPr="004335FC" w:rsidRDefault="00784409" w:rsidP="007113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4.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Неусвоените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средства от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предходната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година не се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прехвърлят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за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следващата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.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Изключения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се правят за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суми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предвидени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за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заявена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поръчка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за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закупуване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на техника или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мотивиран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доклад </w:t>
      </w:r>
      <w:r w:rsidR="007B5F38"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от </w:t>
      </w:r>
      <w:proofErr w:type="spellStart"/>
      <w:r w:rsidR="007B5F38"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ръководителя</w:t>
      </w:r>
      <w:proofErr w:type="spellEnd"/>
      <w:r w:rsidR="007B5F38"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на проекта </w:t>
      </w:r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за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прехвърляне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на средства </w:t>
      </w:r>
      <w:proofErr w:type="gram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за</w:t>
      </w:r>
      <w:proofErr w:type="gram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следващата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финансова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година.</w:t>
      </w:r>
      <w:r w:rsidR="007B5F38"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</w:p>
    <w:p w:rsidR="00711354" w:rsidRPr="00F059BC" w:rsidRDefault="00784409" w:rsidP="007113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5</w:t>
      </w:r>
      <w:r w:rsidR="00711354"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</w:t>
      </w:r>
      <w:r w:rsidR="00711354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 извършване на контрол върху изпълнението на договора се попълва </w:t>
      </w:r>
      <w:r w:rsidR="00711354"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Приложение 2</w:t>
      </w:r>
      <w:r w:rsidR="00711354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711354" w:rsidRPr="00F059BC" w:rsidRDefault="00784409" w:rsidP="007113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6</w:t>
      </w:r>
      <w:r w:rsidR="00711354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Неразделна част от споразумението е декларацията на ръководителя във връзка с изпълнение на проекта </w:t>
      </w:r>
      <w:r w:rsidR="00711354" w:rsidRPr="003970F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(</w:t>
      </w:r>
      <w:r w:rsidR="00711354"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Приложение 3</w:t>
      </w:r>
      <w:r w:rsidR="00711354" w:rsidRPr="003970F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).</w:t>
      </w:r>
    </w:p>
    <w:p w:rsidR="00711354" w:rsidRPr="00F059BC" w:rsidRDefault="00711354" w:rsidP="00711354">
      <w:pPr>
        <w:suppressAutoHyphens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Договарящи страни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ВЪЗЛОЖИТЕЛ:                        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="00D209CC"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="00D209CC"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ИЗПЪЛНИТЕЛ: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Аграрен университет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</w:t>
      </w:r>
      <w:r w:rsidRPr="003970F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                </w:t>
      </w:r>
      <w:r w:rsidR="00D209CC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D209CC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3970F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 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 Ръководител на научния проект:.......................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(проф. д-р Христина Янчева)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   </w:t>
      </w:r>
      <w:r w:rsidR="00D209CC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D209CC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 Оперативен ръководител на проекта</w:t>
      </w:r>
      <w:r w:rsidR="00F915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(гл. счетов. Р. Христева)</w:t>
      </w:r>
    </w:p>
    <w:p w:rsidR="00D209CC" w:rsidRPr="00F059BC" w:rsidRDefault="00D209CC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11354" w:rsidRPr="00F059BC" w:rsidRDefault="00D209CC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ОБСЛУЖВАЩО ЗВЕНО – ЦНИ </w:t>
      </w:r>
      <w:r w:rsidR="00711354"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при АУ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-Пловдив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(проф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. дтн Кр. Иванов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(отг. счетов. М. Механджийска)</w:t>
      </w:r>
    </w:p>
    <w:p w:rsidR="00711354" w:rsidRPr="00F059BC" w:rsidRDefault="00711354" w:rsidP="00711354">
      <w:pPr>
        <w:suppressAutoHyphens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val="ru-RU"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 w:type="page"/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Приложение</w:t>
      </w:r>
      <w:r w:rsidRPr="00F059BC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  <w:t xml:space="preserve"> </w:t>
      </w:r>
      <w:r w:rsidRPr="00F059BC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val="ru-RU" w:eastAsia="ar-SA"/>
        </w:rPr>
        <w:t>1</w:t>
      </w:r>
    </w:p>
    <w:p w:rsidR="00711354" w:rsidRPr="00F059BC" w:rsidRDefault="00711354" w:rsidP="00711354">
      <w:pPr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b/>
          <w:spacing w:val="100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spacing w:val="100"/>
          <w:kern w:val="1"/>
          <w:sz w:val="24"/>
          <w:szCs w:val="24"/>
          <w:lang w:eastAsia="ar-SA"/>
        </w:rPr>
        <w:t>ФИНАНСОВ ПЛАН НА ПРОЕКТА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7070"/>
      </w:tblGrid>
      <w:tr w:rsidR="00711354" w:rsidRPr="00F059BC" w:rsidTr="00D42494">
        <w:tc>
          <w:tcPr>
            <w:tcW w:w="2660" w:type="dxa"/>
            <w:shd w:val="clear" w:color="auto" w:fill="EEECE1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Тема:</w:t>
            </w:r>
          </w:p>
        </w:tc>
        <w:tc>
          <w:tcPr>
            <w:tcW w:w="7070" w:type="dxa"/>
            <w:shd w:val="clear" w:color="auto" w:fill="FFFFFF"/>
          </w:tcPr>
          <w:p w:rsidR="00711354" w:rsidRPr="00F059BC" w:rsidRDefault="00711354" w:rsidP="00711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711354" w:rsidRPr="00F059BC" w:rsidRDefault="00711354" w:rsidP="00711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1354" w:rsidRPr="00F059BC" w:rsidTr="00D42494">
        <w:tc>
          <w:tcPr>
            <w:tcW w:w="2660" w:type="dxa"/>
            <w:shd w:val="clear" w:color="auto" w:fill="EEECE1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Регистрационен №:</w:t>
            </w:r>
          </w:p>
        </w:tc>
        <w:tc>
          <w:tcPr>
            <w:tcW w:w="7070" w:type="dxa"/>
            <w:shd w:val="clear" w:color="auto" w:fill="FFFFFF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711354" w:rsidRPr="00F059BC" w:rsidTr="00D42494">
        <w:tc>
          <w:tcPr>
            <w:tcW w:w="2660" w:type="dxa"/>
            <w:shd w:val="clear" w:color="auto" w:fill="EEECE1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Ръководител:</w:t>
            </w:r>
          </w:p>
        </w:tc>
        <w:tc>
          <w:tcPr>
            <w:tcW w:w="7070" w:type="dxa"/>
            <w:shd w:val="clear" w:color="auto" w:fill="FFFFFF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472"/>
        <w:gridCol w:w="1258"/>
      </w:tblGrid>
      <w:tr w:rsidR="00711354" w:rsidRPr="00F059BC" w:rsidTr="00D42494">
        <w:tc>
          <w:tcPr>
            <w:tcW w:w="9730" w:type="dxa"/>
            <w:gridSpan w:val="2"/>
            <w:shd w:val="clear" w:color="auto" w:fill="EEECE1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За текущата финансова година: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Апаратура и оборудване (до 40% от общата стойност на проекта)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Материали, химикали, образци, консумативи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Информационни продукти и услуги (литература, патенти, компютърно време)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Командировки: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Заплащане на звена подизпълнители за извършване на научно-помощни действия по проекта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Лабораторни разходи: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АУ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външни организации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Публикуване на резултати от изследванията и др.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Канцеларски разходи, копирни услуги и др.  (до 5 % от общата стойност на договора)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03142F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Отчисления за ЦНИ </w:t>
            </w:r>
            <w:r w:rsidR="00711354"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(10% от общата сума)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1354" w:rsidRPr="003970F1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Други</w:t>
            </w:r>
            <w:r w:rsidR="003970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Общо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</w:tbl>
    <w:p w:rsidR="00711354" w:rsidRPr="00F059BC" w:rsidRDefault="00711354" w:rsidP="00711354">
      <w:pPr>
        <w:suppressAutoHyphens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11354" w:rsidRPr="00F059BC" w:rsidRDefault="00711354" w:rsidP="00711354">
      <w:pPr>
        <w:suppressAutoHyphens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Приложение 2</w:t>
      </w:r>
    </w:p>
    <w:p w:rsidR="00711354" w:rsidRPr="00F059BC" w:rsidRDefault="00711354" w:rsidP="00711354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val="en-US"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Контрол върху изпълнението на договора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28"/>
        <w:gridCol w:w="7102"/>
      </w:tblGrid>
      <w:tr w:rsidR="00711354" w:rsidRPr="00F059BC" w:rsidTr="00D42494">
        <w:tc>
          <w:tcPr>
            <w:tcW w:w="2628" w:type="dxa"/>
            <w:shd w:val="clear" w:color="auto" w:fill="EEECE1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Тема:</w:t>
            </w:r>
          </w:p>
        </w:tc>
        <w:tc>
          <w:tcPr>
            <w:tcW w:w="7102" w:type="dxa"/>
            <w:shd w:val="clear" w:color="auto" w:fill="FFFFFF"/>
          </w:tcPr>
          <w:p w:rsidR="00711354" w:rsidRPr="00F059BC" w:rsidRDefault="00711354" w:rsidP="00711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711354" w:rsidRPr="00F059BC" w:rsidRDefault="00711354" w:rsidP="00711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1354" w:rsidRPr="00F059BC" w:rsidTr="00D42494">
        <w:tc>
          <w:tcPr>
            <w:tcW w:w="2628" w:type="dxa"/>
            <w:shd w:val="clear" w:color="auto" w:fill="EEECE1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Регистрационен №:</w:t>
            </w:r>
          </w:p>
        </w:tc>
        <w:tc>
          <w:tcPr>
            <w:tcW w:w="7102" w:type="dxa"/>
            <w:shd w:val="clear" w:color="auto" w:fill="FFFFFF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711354" w:rsidRPr="00F059BC" w:rsidTr="00D42494">
        <w:tc>
          <w:tcPr>
            <w:tcW w:w="2628" w:type="dxa"/>
            <w:shd w:val="clear" w:color="auto" w:fill="EEECE1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Ръководител:</w:t>
            </w:r>
          </w:p>
        </w:tc>
        <w:tc>
          <w:tcPr>
            <w:tcW w:w="7102" w:type="dxa"/>
            <w:shd w:val="clear" w:color="auto" w:fill="FFFFFF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 w:rsidR="00711354" w:rsidRPr="00F059BC" w:rsidRDefault="00711354" w:rsidP="00711354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Срок за </w:t>
      </w:r>
      <w:proofErr w:type="spellStart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контрол</w:t>
      </w:r>
      <w:proofErr w:type="spellEnd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на </w:t>
      </w:r>
      <w:proofErr w:type="spellStart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междинните</w:t>
      </w:r>
      <w:proofErr w:type="spellEnd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резултати</w:t>
      </w:r>
      <w:proofErr w:type="spellEnd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през</w:t>
      </w:r>
      <w:proofErr w:type="spellEnd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отчетната</w:t>
      </w:r>
      <w:proofErr w:type="spellEnd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година 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(</w:t>
      </w:r>
      <w:proofErr w:type="spellStart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>ръководителят</w:t>
      </w:r>
      <w:proofErr w:type="spellEnd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 xml:space="preserve"> </w:t>
      </w:r>
      <w:proofErr w:type="gramStart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>на</w:t>
      </w:r>
      <w:proofErr w:type="gramEnd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 xml:space="preserve"> </w:t>
      </w:r>
      <w:proofErr w:type="gramStart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>проекта</w:t>
      </w:r>
      <w:proofErr w:type="gramEnd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>посочва</w:t>
      </w:r>
      <w:proofErr w:type="spellEnd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 xml:space="preserve"> периода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) </w:t>
      </w:r>
      <w:proofErr w:type="spellStart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юни</w:t>
      </w:r>
      <w:proofErr w:type="spellEnd"/>
      <w:r w:rsidR="009E6F37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– юли; </w:t>
      </w:r>
      <w:proofErr w:type="spellStart"/>
      <w:r w:rsidR="009E6F37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септември</w:t>
      </w:r>
      <w:proofErr w:type="spellEnd"/>
      <w:r w:rsidR="009E6F37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– </w:t>
      </w:r>
      <w:proofErr w:type="spellStart"/>
      <w:r w:rsidR="009E6F37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октомври</w:t>
      </w:r>
      <w:proofErr w:type="spellEnd"/>
      <w:r w:rsidR="009E6F37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20</w:t>
      </w:r>
      <w:r w:rsidR="009E6F3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..</w:t>
      </w:r>
      <w:bookmarkStart w:id="0" w:name="_GoBack"/>
      <w:bookmarkEnd w:id="0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г.</w:t>
      </w:r>
    </w:p>
    <w:p w:rsidR="00711354" w:rsidRPr="00F059BC" w:rsidRDefault="00711354" w:rsidP="00711354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Срок за отчет на</w:t>
      </w:r>
      <w:r w:rsidR="008847D8"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="008847D8"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годишните</w:t>
      </w:r>
      <w:proofErr w:type="spellEnd"/>
      <w:r w:rsidR="008847D8"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="008847D8"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резултати</w:t>
      </w:r>
      <w:proofErr w:type="spellEnd"/>
      <w:r w:rsidR="008847D8"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– </w:t>
      </w:r>
      <w:proofErr w:type="spellStart"/>
      <w:r w:rsidR="008847D8"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декември</w:t>
      </w:r>
      <w:proofErr w:type="spellEnd"/>
      <w:r w:rsidR="004A095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20..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r w:rsidR="008847D8" w:rsidRPr="003970F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– </w:t>
      </w:r>
      <w:r w:rsidR="004A095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януари 20..</w:t>
      </w:r>
      <w:r w:rsidR="008847D8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г.</w:t>
      </w:r>
    </w:p>
    <w:p w:rsidR="00711354" w:rsidRDefault="00711354" w:rsidP="00711354">
      <w:pPr>
        <w:suppressAutoHyphens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</w:p>
    <w:p w:rsidR="00F91591" w:rsidRPr="00F059BC" w:rsidRDefault="00F91591" w:rsidP="00711354">
      <w:pPr>
        <w:suppressAutoHyphens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</w:p>
    <w:sectPr w:rsidR="00F91591" w:rsidRPr="00F059BC" w:rsidSect="003F033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B79C3"/>
    <w:multiLevelType w:val="hybridMultilevel"/>
    <w:tmpl w:val="B99AD8D8"/>
    <w:lvl w:ilvl="0" w:tplc="6BAC3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81C3C"/>
    <w:multiLevelType w:val="hybridMultilevel"/>
    <w:tmpl w:val="1F9611B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54"/>
    <w:rsid w:val="0003142F"/>
    <w:rsid w:val="000A419C"/>
    <w:rsid w:val="00134787"/>
    <w:rsid w:val="0037436A"/>
    <w:rsid w:val="00381836"/>
    <w:rsid w:val="003970F1"/>
    <w:rsid w:val="003E34EA"/>
    <w:rsid w:val="003F0337"/>
    <w:rsid w:val="004335FC"/>
    <w:rsid w:val="004A0951"/>
    <w:rsid w:val="006043DF"/>
    <w:rsid w:val="006743C2"/>
    <w:rsid w:val="00711354"/>
    <w:rsid w:val="00784409"/>
    <w:rsid w:val="007B5F38"/>
    <w:rsid w:val="008847D8"/>
    <w:rsid w:val="00893095"/>
    <w:rsid w:val="008F4105"/>
    <w:rsid w:val="0092163E"/>
    <w:rsid w:val="009E6F37"/>
    <w:rsid w:val="00A920B7"/>
    <w:rsid w:val="00B078B9"/>
    <w:rsid w:val="00B8712A"/>
    <w:rsid w:val="00CA64C1"/>
    <w:rsid w:val="00D209CC"/>
    <w:rsid w:val="00D728A8"/>
    <w:rsid w:val="00DD2E5C"/>
    <w:rsid w:val="00EC7C5B"/>
    <w:rsid w:val="00F059BC"/>
    <w:rsid w:val="00F9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u-plovdi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10D49-5E6C-406A-9527-8846B304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2019-01-31T07:36:00Z</dcterms:created>
  <dcterms:modified xsi:type="dcterms:W3CDTF">2019-01-31T07:36:00Z</dcterms:modified>
</cp:coreProperties>
</file>