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9EB" w:rsidRDefault="00AA6319" w:rsidP="00282B60">
      <w:pPr>
        <w:jc w:val="center"/>
      </w:pPr>
      <w:r w:rsidRPr="00AA6319">
        <w:rPr>
          <w:noProof/>
        </w:rPr>
        <w:drawing>
          <wp:inline distT="0" distB="0" distL="0" distR="0">
            <wp:extent cx="6309360" cy="24155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33" w:rsidRPr="00D35933" w:rsidRDefault="00D35933" w:rsidP="00AA6319">
      <w:pPr>
        <w:shd w:val="clear" w:color="auto" w:fill="FFFFFF"/>
        <w:spacing w:after="0" w:line="320" w:lineRule="atLeast"/>
        <w:ind w:left="284" w:right="260"/>
        <w:jc w:val="both"/>
        <w:rPr>
          <w:rFonts w:ascii="Arial" w:eastAsia="Times New Roman" w:hAnsi="Arial" w:cs="Arial"/>
          <w:color w:val="767171" w:themeColor="background2" w:themeShade="80"/>
        </w:rPr>
      </w:pPr>
      <w:r w:rsidRPr="00D35933">
        <w:rPr>
          <w:rFonts w:ascii="Arial" w:eastAsia="Times New Roman" w:hAnsi="Arial" w:cs="Arial"/>
          <w:color w:val="767171" w:themeColor="background2" w:themeShade="80"/>
        </w:rPr>
        <w:t xml:space="preserve">The </w:t>
      </w:r>
      <w:r w:rsidRPr="00D35933">
        <w:rPr>
          <w:rFonts w:ascii="Arial" w:eastAsia="Times New Roman" w:hAnsi="Arial" w:cs="Arial"/>
          <w:b/>
          <w:color w:val="767171" w:themeColor="background2" w:themeShade="80"/>
        </w:rPr>
        <w:t>22</w:t>
      </w:r>
      <w:r w:rsidRPr="00D35933">
        <w:rPr>
          <w:rFonts w:ascii="Arial" w:eastAsia="Times New Roman" w:hAnsi="Arial" w:cs="Arial"/>
          <w:b/>
          <w:color w:val="767171" w:themeColor="background2" w:themeShade="80"/>
          <w:vertAlign w:val="superscript"/>
        </w:rPr>
        <w:t>nd</w:t>
      </w:r>
      <w:r w:rsidRPr="00D35933">
        <w:rPr>
          <w:rFonts w:ascii="Arial" w:eastAsia="Times New Roman" w:hAnsi="Arial" w:cs="Arial"/>
          <w:b/>
          <w:color w:val="767171" w:themeColor="background2" w:themeShade="80"/>
        </w:rPr>
        <w:t xml:space="preserve"> Congress of the Carpathian-Balkan Geological Association </w:t>
      </w:r>
      <w:r w:rsidRPr="003C26FD">
        <w:rPr>
          <w:rFonts w:ascii="Arial" w:eastAsia="Times New Roman" w:hAnsi="Arial" w:cs="Arial"/>
          <w:b/>
          <w:color w:val="767171" w:themeColor="background2" w:themeShade="80"/>
        </w:rPr>
        <w:t>will</w:t>
      </w:r>
      <w:r w:rsidRPr="00D35933">
        <w:rPr>
          <w:rFonts w:ascii="Arial" w:eastAsia="Times New Roman" w:hAnsi="Arial" w:cs="Arial"/>
          <w:b/>
          <w:color w:val="767171" w:themeColor="background2" w:themeShade="80"/>
        </w:rPr>
        <w:t xml:space="preserve"> be held on 7–11 September 2022 in Plovdiv, Bulgaria</w:t>
      </w:r>
      <w:r w:rsidRPr="00370D6D">
        <w:rPr>
          <w:rFonts w:ascii="Arial" w:eastAsia="Times New Roman" w:hAnsi="Arial" w:cs="Arial"/>
          <w:color w:val="767171" w:themeColor="background2" w:themeShade="80"/>
        </w:rPr>
        <w:t xml:space="preserve"> </w:t>
      </w:r>
      <w:r w:rsidRPr="00370D6D">
        <w:rPr>
          <w:rFonts w:ascii="Arial" w:eastAsia="Times New Roman" w:hAnsi="Arial" w:cs="Arial"/>
          <w:b/>
          <w:i/>
          <w:color w:val="767171" w:themeColor="background2" w:themeShade="80"/>
        </w:rPr>
        <w:t>(</w:t>
      </w:r>
      <w:hyperlink r:id="rId5" w:history="1">
        <w:r w:rsidRPr="00370D6D">
          <w:rPr>
            <w:rStyle w:val="Hyperlink"/>
            <w:rFonts w:ascii="Arial" w:eastAsia="Times New Roman" w:hAnsi="Arial" w:cs="Arial"/>
            <w:b/>
            <w:i/>
            <w:color w:val="767171" w:themeColor="background2" w:themeShade="80"/>
          </w:rPr>
          <w:t>https://cbga2022.geology.bas.bg</w:t>
        </w:r>
      </w:hyperlink>
      <w:r w:rsidRPr="00370D6D">
        <w:rPr>
          <w:rFonts w:ascii="Arial" w:eastAsia="Times New Roman" w:hAnsi="Arial" w:cs="Arial"/>
          <w:color w:val="767171" w:themeColor="background2" w:themeShade="80"/>
        </w:rPr>
        <w:t xml:space="preserve">) </w:t>
      </w:r>
      <w:r w:rsidR="00925604" w:rsidRPr="00370D6D">
        <w:rPr>
          <w:rFonts w:ascii="Arial" w:eastAsia="Times New Roman" w:hAnsi="Arial" w:cs="Arial"/>
          <w:color w:val="767171" w:themeColor="background2" w:themeShade="80"/>
        </w:rPr>
        <w:t>to</w:t>
      </w:r>
      <w:r w:rsidRPr="00370D6D">
        <w:rPr>
          <w:rFonts w:ascii="Arial" w:eastAsia="Times New Roman" w:hAnsi="Arial" w:cs="Arial"/>
          <w:color w:val="767171" w:themeColor="background2" w:themeShade="80"/>
        </w:rPr>
        <w:t xml:space="preserve"> </w:t>
      </w:r>
      <w:r w:rsidRPr="00D35933">
        <w:rPr>
          <w:rFonts w:ascii="Arial" w:eastAsia="Times New Roman" w:hAnsi="Arial" w:cs="Arial"/>
          <w:color w:val="767171" w:themeColor="background2" w:themeShade="80"/>
        </w:rPr>
        <w:t xml:space="preserve">celebrate </w:t>
      </w:r>
      <w:r w:rsidRPr="00370D6D">
        <w:rPr>
          <w:rFonts w:ascii="Arial" w:eastAsia="Times New Roman" w:hAnsi="Arial" w:cs="Arial"/>
          <w:color w:val="767171" w:themeColor="background2" w:themeShade="80"/>
        </w:rPr>
        <w:t>the</w:t>
      </w:r>
      <w:r w:rsidRPr="00D35933">
        <w:rPr>
          <w:rFonts w:ascii="Arial" w:eastAsia="Times New Roman" w:hAnsi="Arial" w:cs="Arial"/>
          <w:color w:val="767171" w:themeColor="background2" w:themeShade="80"/>
        </w:rPr>
        <w:t xml:space="preserve"> 100</w:t>
      </w:r>
      <w:r w:rsidRPr="00D35933">
        <w:rPr>
          <w:rFonts w:ascii="Arial" w:eastAsia="Times New Roman" w:hAnsi="Arial" w:cs="Arial"/>
          <w:color w:val="767171" w:themeColor="background2" w:themeShade="80"/>
          <w:vertAlign w:val="superscript"/>
        </w:rPr>
        <w:t>th</w:t>
      </w:r>
      <w:r w:rsidRPr="00D35933">
        <w:rPr>
          <w:rFonts w:ascii="Arial" w:eastAsia="Times New Roman" w:hAnsi="Arial" w:cs="Arial"/>
          <w:color w:val="767171" w:themeColor="background2" w:themeShade="80"/>
        </w:rPr>
        <w:t xml:space="preserve"> anniversary</w:t>
      </w:r>
      <w:r w:rsidRPr="00370D6D">
        <w:rPr>
          <w:rFonts w:ascii="Arial" w:eastAsia="Times New Roman" w:hAnsi="Arial" w:cs="Arial"/>
          <w:color w:val="767171" w:themeColor="background2" w:themeShade="80"/>
        </w:rPr>
        <w:t xml:space="preserve"> of the association</w:t>
      </w:r>
      <w:r w:rsidR="00925604" w:rsidRPr="00370D6D">
        <w:rPr>
          <w:rFonts w:ascii="Arial" w:eastAsia="Times New Roman" w:hAnsi="Arial" w:cs="Arial"/>
          <w:color w:val="767171" w:themeColor="background2" w:themeShade="80"/>
        </w:rPr>
        <w:t>. CBGA</w:t>
      </w:r>
      <w:r w:rsidRPr="00D35933">
        <w:rPr>
          <w:rFonts w:ascii="Arial" w:eastAsia="Times New Roman" w:hAnsi="Arial" w:cs="Arial"/>
          <w:color w:val="767171" w:themeColor="background2" w:themeShade="80"/>
        </w:rPr>
        <w:t xml:space="preserve">2022 aims to bring together geoscientists from Southeastern Europe with geoscientists from all over the world for a meeting covering all disciplines of Earth </w:t>
      </w:r>
      <w:r w:rsidR="003C26FD">
        <w:rPr>
          <w:rFonts w:ascii="Arial" w:eastAsia="Times New Roman" w:hAnsi="Arial" w:cs="Arial"/>
          <w:color w:val="767171" w:themeColor="background2" w:themeShade="80"/>
        </w:rPr>
        <w:t>S</w:t>
      </w:r>
      <w:r w:rsidRPr="00D35933">
        <w:rPr>
          <w:rFonts w:ascii="Arial" w:eastAsia="Times New Roman" w:hAnsi="Arial" w:cs="Arial"/>
          <w:color w:val="767171" w:themeColor="background2" w:themeShade="80"/>
        </w:rPr>
        <w:t>ciences. The congress is a forum where scientists</w:t>
      </w:r>
      <w:r w:rsidRPr="00370D6D">
        <w:rPr>
          <w:rFonts w:ascii="Arial" w:eastAsia="Times New Roman" w:hAnsi="Arial" w:cs="Arial"/>
          <w:color w:val="767171" w:themeColor="background2" w:themeShade="80"/>
        </w:rPr>
        <w:t xml:space="preserve"> </w:t>
      </w:r>
      <w:r w:rsidRPr="00D35933">
        <w:rPr>
          <w:rFonts w:ascii="Arial" w:eastAsia="Times New Roman" w:hAnsi="Arial" w:cs="Arial"/>
          <w:color w:val="767171" w:themeColor="background2" w:themeShade="80"/>
        </w:rPr>
        <w:t>can present and discuss their recent results and create ideas about collaborative cross-border fundamental and applied studies, for training and specialization in the Carpathian-Balkan realm</w:t>
      </w:r>
      <w:r w:rsidRPr="00370D6D">
        <w:rPr>
          <w:rFonts w:ascii="Arial" w:eastAsia="Times New Roman" w:hAnsi="Arial" w:cs="Arial"/>
          <w:color w:val="767171" w:themeColor="background2" w:themeShade="80"/>
        </w:rPr>
        <w:t xml:space="preserve"> and beyond</w:t>
      </w:r>
      <w:r w:rsidRPr="00D35933">
        <w:rPr>
          <w:rFonts w:ascii="Arial" w:eastAsia="Times New Roman" w:hAnsi="Arial" w:cs="Arial"/>
          <w:color w:val="767171" w:themeColor="background2" w:themeShade="80"/>
        </w:rPr>
        <w:t>.</w:t>
      </w:r>
    </w:p>
    <w:p w:rsidR="00282B60" w:rsidRPr="00282B60" w:rsidRDefault="00D35933" w:rsidP="006F0233">
      <w:pPr>
        <w:spacing w:after="0" w:line="320" w:lineRule="atLeast"/>
        <w:ind w:left="284" w:right="260" w:firstLine="436"/>
        <w:jc w:val="both"/>
        <w:rPr>
          <w:rFonts w:ascii="Arial" w:eastAsia="Times New Roman" w:hAnsi="Arial" w:cs="Arial"/>
          <w:color w:val="767171" w:themeColor="background2" w:themeShade="80"/>
        </w:rPr>
      </w:pPr>
      <w:r w:rsidRPr="00370D6D">
        <w:rPr>
          <w:rFonts w:ascii="Arial" w:eastAsia="Times New Roman" w:hAnsi="Arial" w:cs="Arial"/>
          <w:color w:val="767171" w:themeColor="background2" w:themeShade="80"/>
        </w:rPr>
        <w:t>The registration for CBGA2022 is now open</w:t>
      </w:r>
      <w:r w:rsidRPr="00370D6D">
        <w:rPr>
          <w:rFonts w:ascii="Arial" w:eastAsia="Times New Roman" w:hAnsi="Arial" w:cs="Arial"/>
          <w:b/>
          <w:i/>
          <w:color w:val="767171" w:themeColor="background2" w:themeShade="80"/>
        </w:rPr>
        <w:t xml:space="preserve">. </w:t>
      </w:r>
      <w:r w:rsidR="007E536C" w:rsidRPr="00370D6D">
        <w:rPr>
          <w:rFonts w:ascii="Arial" w:eastAsia="Times New Roman" w:hAnsi="Arial" w:cs="Arial"/>
          <w:color w:val="767171" w:themeColor="background2" w:themeShade="80"/>
        </w:rPr>
        <w:t>17 general and 11 special sessions, pre-mid and post-congress field workshops/ excursions and field workshops are included in the program.</w:t>
      </w:r>
      <w:r w:rsidR="00282B60">
        <w:rPr>
          <w:rFonts w:ascii="Arial" w:eastAsia="Times New Roman" w:hAnsi="Arial" w:cs="Arial"/>
          <w:color w:val="767171" w:themeColor="background2" w:themeShade="80"/>
        </w:rPr>
        <w:t xml:space="preserve"> </w:t>
      </w:r>
      <w:r w:rsidR="00282B60" w:rsidRPr="00282B60">
        <w:rPr>
          <w:rFonts w:ascii="Arial" w:eastAsia="Times New Roman" w:hAnsi="Arial" w:cs="Arial"/>
          <w:b/>
          <w:i/>
          <w:color w:val="767171" w:themeColor="background2" w:themeShade="80"/>
        </w:rPr>
        <w:t>Full papers/</w:t>
      </w:r>
      <w:r w:rsidR="00972514">
        <w:rPr>
          <w:rFonts w:ascii="Arial" w:eastAsia="Times New Roman" w:hAnsi="Arial" w:cs="Arial"/>
          <w:b/>
          <w:i/>
          <w:color w:val="767171" w:themeColor="background2" w:themeShade="80"/>
        </w:rPr>
        <w:t xml:space="preserve"> </w:t>
      </w:r>
      <w:r w:rsidR="00282B60" w:rsidRPr="00282B60">
        <w:rPr>
          <w:rFonts w:ascii="Arial" w:eastAsia="Times New Roman" w:hAnsi="Arial" w:cs="Arial"/>
          <w:b/>
          <w:i/>
          <w:color w:val="767171" w:themeColor="background2" w:themeShade="80"/>
        </w:rPr>
        <w:t>short communications</w:t>
      </w:r>
      <w:r w:rsidR="00282B60" w:rsidRPr="00282B60">
        <w:rPr>
          <w:rFonts w:ascii="Arial" w:eastAsia="Times New Roman" w:hAnsi="Arial" w:cs="Arial"/>
          <w:color w:val="767171" w:themeColor="background2" w:themeShade="80"/>
        </w:rPr>
        <w:t xml:space="preserve"> can be submitted to the official journals of CBGA </w:t>
      </w:r>
      <w:proofErr w:type="spellStart"/>
      <w:r w:rsidR="00282B60" w:rsidRPr="00972514">
        <w:rPr>
          <w:rFonts w:ascii="Arial" w:eastAsia="Times New Roman" w:hAnsi="Arial" w:cs="Arial"/>
          <w:b/>
          <w:i/>
          <w:color w:val="767171" w:themeColor="background2" w:themeShade="80"/>
        </w:rPr>
        <w:t>Geologica</w:t>
      </w:r>
      <w:proofErr w:type="spellEnd"/>
      <w:r w:rsidR="00282B60" w:rsidRPr="00972514">
        <w:rPr>
          <w:rFonts w:ascii="Arial" w:eastAsia="Times New Roman" w:hAnsi="Arial" w:cs="Arial"/>
          <w:b/>
          <w:i/>
          <w:color w:val="767171" w:themeColor="background2" w:themeShade="80"/>
        </w:rPr>
        <w:t xml:space="preserve"> </w:t>
      </w:r>
      <w:proofErr w:type="spellStart"/>
      <w:r w:rsidR="00282B60" w:rsidRPr="00972514">
        <w:rPr>
          <w:rFonts w:ascii="Arial" w:eastAsia="Times New Roman" w:hAnsi="Arial" w:cs="Arial"/>
          <w:b/>
          <w:i/>
          <w:color w:val="767171" w:themeColor="background2" w:themeShade="80"/>
        </w:rPr>
        <w:t>Carpathica</w:t>
      </w:r>
      <w:proofErr w:type="spellEnd"/>
      <w:r w:rsidR="00282B60" w:rsidRPr="00282B60">
        <w:rPr>
          <w:rFonts w:ascii="Arial" w:eastAsia="Times New Roman" w:hAnsi="Arial" w:cs="Arial"/>
          <w:color w:val="767171" w:themeColor="background2" w:themeShade="80"/>
        </w:rPr>
        <w:t xml:space="preserve"> and </w:t>
      </w:r>
      <w:proofErr w:type="spellStart"/>
      <w:r w:rsidR="00282B60" w:rsidRPr="00972514">
        <w:rPr>
          <w:rFonts w:ascii="Arial" w:eastAsia="Times New Roman" w:hAnsi="Arial" w:cs="Arial"/>
          <w:b/>
          <w:i/>
          <w:color w:val="767171" w:themeColor="background2" w:themeShade="80"/>
        </w:rPr>
        <w:t>Geologica</w:t>
      </w:r>
      <w:proofErr w:type="spellEnd"/>
      <w:r w:rsidR="00282B60" w:rsidRPr="00972514">
        <w:rPr>
          <w:rFonts w:ascii="Arial" w:eastAsia="Times New Roman" w:hAnsi="Arial" w:cs="Arial"/>
          <w:b/>
          <w:i/>
          <w:color w:val="767171" w:themeColor="background2" w:themeShade="80"/>
        </w:rPr>
        <w:t xml:space="preserve"> </w:t>
      </w:r>
      <w:proofErr w:type="spellStart"/>
      <w:r w:rsidR="00282B60" w:rsidRPr="00972514">
        <w:rPr>
          <w:rFonts w:ascii="Arial" w:eastAsia="Times New Roman" w:hAnsi="Arial" w:cs="Arial"/>
          <w:b/>
          <w:i/>
          <w:color w:val="767171" w:themeColor="background2" w:themeShade="80"/>
        </w:rPr>
        <w:t>Balcanica</w:t>
      </w:r>
      <w:proofErr w:type="spellEnd"/>
      <w:r w:rsidR="00282B60" w:rsidRPr="00282B60">
        <w:rPr>
          <w:rFonts w:ascii="Arial" w:eastAsia="Times New Roman" w:hAnsi="Arial" w:cs="Arial"/>
          <w:color w:val="767171" w:themeColor="background2" w:themeShade="80"/>
        </w:rPr>
        <w:t xml:space="preserve"> </w:t>
      </w:r>
      <w:r w:rsidR="00282B60" w:rsidRPr="005346C8">
        <w:rPr>
          <w:rFonts w:ascii="Arial" w:eastAsia="Times New Roman" w:hAnsi="Arial" w:cs="Arial"/>
          <w:color w:val="767171" w:themeColor="background2" w:themeShade="80"/>
        </w:rPr>
        <w:t>until</w:t>
      </w:r>
      <w:r w:rsidR="00282B60" w:rsidRPr="00282B60">
        <w:rPr>
          <w:rFonts w:ascii="Arial" w:eastAsia="Times New Roman" w:hAnsi="Arial" w:cs="Arial"/>
          <w:b/>
          <w:i/>
          <w:color w:val="767171" w:themeColor="background2" w:themeShade="80"/>
        </w:rPr>
        <w:t xml:space="preserve"> 05.05.2022 </w:t>
      </w:r>
      <w:r w:rsidR="00282B60" w:rsidRPr="00550CD0">
        <w:rPr>
          <w:rFonts w:ascii="Arial" w:eastAsia="Times New Roman" w:hAnsi="Arial" w:cs="Arial"/>
          <w:color w:val="767171" w:themeColor="background2" w:themeShade="80"/>
        </w:rPr>
        <w:t>and</w:t>
      </w:r>
      <w:r w:rsidR="00282B60" w:rsidRPr="00282B60">
        <w:rPr>
          <w:rFonts w:ascii="Arial" w:eastAsia="Times New Roman" w:hAnsi="Arial" w:cs="Arial"/>
          <w:b/>
          <w:i/>
          <w:color w:val="767171" w:themeColor="background2" w:themeShade="80"/>
        </w:rPr>
        <w:t xml:space="preserve"> 15.05.2022</w:t>
      </w:r>
      <w:r w:rsidR="00282B60" w:rsidRPr="00282B60">
        <w:rPr>
          <w:rFonts w:ascii="Arial" w:eastAsia="Times New Roman" w:hAnsi="Arial" w:cs="Arial"/>
          <w:color w:val="767171" w:themeColor="background2" w:themeShade="80"/>
        </w:rPr>
        <w:t xml:space="preserve">, respectively. </w:t>
      </w:r>
      <w:r w:rsidR="00282B60" w:rsidRPr="005346C8">
        <w:rPr>
          <w:rFonts w:ascii="Arial" w:eastAsia="Times New Roman" w:hAnsi="Arial" w:cs="Arial"/>
          <w:b/>
          <w:i/>
          <w:color w:val="767171" w:themeColor="background2" w:themeShade="80"/>
        </w:rPr>
        <w:t>Abstract submission</w:t>
      </w:r>
      <w:r w:rsidR="00282B60" w:rsidRPr="006E609E">
        <w:rPr>
          <w:rFonts w:ascii="Arial" w:eastAsia="Times New Roman" w:hAnsi="Arial" w:cs="Arial"/>
          <w:color w:val="767171" w:themeColor="background2" w:themeShade="80"/>
        </w:rPr>
        <w:t xml:space="preserve"> and </w:t>
      </w:r>
      <w:r w:rsidR="00282B60" w:rsidRPr="001D78EB">
        <w:rPr>
          <w:rFonts w:ascii="Arial" w:eastAsia="Times New Roman" w:hAnsi="Arial" w:cs="Arial"/>
          <w:b/>
          <w:i/>
          <w:color w:val="767171" w:themeColor="background2" w:themeShade="80"/>
        </w:rPr>
        <w:t>early-birth registration</w:t>
      </w:r>
      <w:r w:rsidR="00282B60" w:rsidRPr="006E609E">
        <w:rPr>
          <w:rFonts w:ascii="Arial" w:eastAsia="Times New Roman" w:hAnsi="Arial" w:cs="Arial"/>
          <w:color w:val="767171" w:themeColor="background2" w:themeShade="80"/>
        </w:rPr>
        <w:t xml:space="preserve"> </w:t>
      </w:r>
      <w:r w:rsidR="006E609E" w:rsidRPr="006E609E">
        <w:rPr>
          <w:rFonts w:ascii="Arial" w:eastAsia="Times New Roman" w:hAnsi="Arial" w:cs="Arial"/>
          <w:color w:val="767171" w:themeColor="background2" w:themeShade="80"/>
        </w:rPr>
        <w:t>are closing</w:t>
      </w:r>
      <w:r w:rsidR="00282B60" w:rsidRPr="006E609E">
        <w:rPr>
          <w:rFonts w:ascii="Arial" w:eastAsia="Times New Roman" w:hAnsi="Arial" w:cs="Arial"/>
          <w:color w:val="767171" w:themeColor="background2" w:themeShade="80"/>
        </w:rPr>
        <w:t xml:space="preserve"> on</w:t>
      </w:r>
      <w:r w:rsidR="006E609E" w:rsidRPr="006E609E">
        <w:rPr>
          <w:rFonts w:ascii="Arial" w:eastAsia="Times New Roman" w:hAnsi="Arial" w:cs="Arial"/>
          <w:color w:val="767171" w:themeColor="background2" w:themeShade="80"/>
        </w:rPr>
        <w:t xml:space="preserve"> </w:t>
      </w:r>
      <w:r w:rsidR="00282B60" w:rsidRPr="006E609E">
        <w:rPr>
          <w:rFonts w:ascii="Arial" w:eastAsia="Times New Roman" w:hAnsi="Arial" w:cs="Arial"/>
          <w:b/>
          <w:i/>
          <w:color w:val="767171" w:themeColor="background2" w:themeShade="80"/>
        </w:rPr>
        <w:t>15.06.2022</w:t>
      </w:r>
      <w:r w:rsidR="00282B60" w:rsidRPr="00282B60">
        <w:rPr>
          <w:rFonts w:ascii="Arial" w:eastAsia="Times New Roman" w:hAnsi="Arial" w:cs="Arial"/>
          <w:color w:val="767171" w:themeColor="background2" w:themeShade="80"/>
        </w:rPr>
        <w:t xml:space="preserve"> (all forms and instructions available on the web page). </w:t>
      </w:r>
    </w:p>
    <w:p w:rsidR="0094200C" w:rsidRPr="0094200C" w:rsidRDefault="0094200C" w:rsidP="00AA6319">
      <w:pPr>
        <w:spacing w:after="0" w:line="360" w:lineRule="atLeast"/>
        <w:ind w:left="284" w:right="260"/>
        <w:jc w:val="both"/>
        <w:rPr>
          <w:rFonts w:ascii="Arial" w:eastAsia="Times New Roman" w:hAnsi="Arial" w:cs="Arial"/>
          <w:color w:val="767171" w:themeColor="background2" w:themeShade="80"/>
          <w:spacing w:val="12"/>
          <w:sz w:val="16"/>
          <w:szCs w:val="16"/>
        </w:rPr>
      </w:pPr>
    </w:p>
    <w:p w:rsidR="0094200C" w:rsidRPr="00282B60" w:rsidRDefault="0094200C" w:rsidP="007E536C">
      <w:pPr>
        <w:spacing w:after="0" w:line="360" w:lineRule="atLeast"/>
        <w:jc w:val="both"/>
        <w:rPr>
          <w:rFonts w:ascii="Arial" w:eastAsia="Times New Roman" w:hAnsi="Arial" w:cs="Arial"/>
          <w:color w:val="767171" w:themeColor="background2" w:themeShade="80"/>
          <w:spacing w:val="12"/>
        </w:rPr>
        <w:sectPr w:rsidR="0094200C" w:rsidRPr="00282B60" w:rsidSect="00F3623C">
          <w:pgSz w:w="11906" w:h="16838" w:code="9"/>
          <w:pgMar w:top="720" w:right="720" w:bottom="567" w:left="720" w:header="720" w:footer="720" w:gutter="0"/>
          <w:cols w:space="720"/>
          <w:docGrid w:linePitch="360"/>
        </w:sectPr>
      </w:pPr>
    </w:p>
    <w:tbl>
      <w:tblPr>
        <w:tblW w:w="4537" w:type="dxa"/>
        <w:tblInd w:w="-145" w:type="dxa"/>
        <w:shd w:val="clear" w:color="auto" w:fill="F8F8F8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828"/>
      </w:tblGrid>
      <w:tr w:rsidR="00282B60" w:rsidRPr="006F0233" w:rsidTr="006F0233">
        <w:trPr>
          <w:trHeight w:val="392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8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T1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Earth System Sciences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GT2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Stratigraphy, Paleontology and Paleogeography</w:t>
            </w:r>
          </w:p>
        </w:tc>
      </w:tr>
      <w:tr w:rsidR="00282B60" w:rsidRPr="006F0233" w:rsidTr="006F0233">
        <w:trPr>
          <w:trHeight w:val="319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8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GT3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Sedimentology, Facies Analysis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GT4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Magmatism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8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GT5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Metamorphism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8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GT6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Mineralogy and Applied Mineralogy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GT7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Tectonics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GT8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Quaternary Geology and Landscape evolution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GT9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282B60" w:rsidRPr="006F0233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Geophysics</w:t>
            </w:r>
          </w:p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and Seismology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8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GT10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Economic Geology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GT11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Energy Resources (Hydrocarbon, Geothermal)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8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GT12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Hydrogeology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GT13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Geohazards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GT14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Engineering Geology and Urban Geology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8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GT15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Cultural heritage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8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GT16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Education in Geology and Public Awareness</w:t>
            </w:r>
          </w:p>
        </w:tc>
      </w:tr>
      <w:tr w:rsidR="00282B60" w:rsidRPr="006F0233" w:rsidTr="006F0233"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GT17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6F0233">
            <w:pPr>
              <w:spacing w:after="0" w:line="240" w:lineRule="auto"/>
              <w:ind w:right="-15" w:firstLine="27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Agrogeology, environmental geochemistry, resilience</w:t>
            </w:r>
          </w:p>
        </w:tc>
      </w:tr>
    </w:tbl>
    <w:p w:rsidR="0094200C" w:rsidRPr="00282B60" w:rsidRDefault="0094200C" w:rsidP="0094200C">
      <w:pPr>
        <w:ind w:right="419"/>
        <w:rPr>
          <w:color w:val="767171" w:themeColor="background2" w:themeShade="80"/>
        </w:rPr>
      </w:pPr>
    </w:p>
    <w:p w:rsidR="0094200C" w:rsidRDefault="0094200C" w:rsidP="0094200C">
      <w:pPr>
        <w:ind w:right="419"/>
        <w:rPr>
          <w:color w:val="767171" w:themeColor="background2" w:themeShade="80"/>
        </w:rPr>
      </w:pPr>
    </w:p>
    <w:tbl>
      <w:tblPr>
        <w:tblW w:w="5104" w:type="dxa"/>
        <w:tblInd w:w="-429" w:type="dxa"/>
        <w:shd w:val="clear" w:color="auto" w:fill="F8F8F8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4536"/>
      </w:tblGrid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SS1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Studies of Ophiolites &amp; Mafic Igneous Rocks and their </w:t>
            </w:r>
            <w:proofErr w:type="spellStart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Mineralizations</w:t>
            </w:r>
            <w:proofErr w:type="spellEnd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: Examples from Southern Europe &amp; Beyond</w:t>
            </w:r>
          </w:p>
        </w:tc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5E5D8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Large Cenozoic Explosive Eruptions in the Carpath</w:t>
            </w:r>
            <w:r w:rsidR="005E5D89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ian</w:t>
            </w: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-</w:t>
            </w:r>
            <w:r w:rsidR="005E5D89"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Balkan</w:t>
            </w: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 Region and their Influence on Climate and Ecosystems</w:t>
            </w:r>
          </w:p>
        </w:tc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proofErr w:type="spellStart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Geologica</w:t>
            </w:r>
            <w:proofErr w:type="spellEnd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 </w:t>
            </w:r>
            <w:proofErr w:type="spellStart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Rhodopica</w:t>
            </w:r>
            <w:proofErr w:type="spellEnd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 - Updated</w:t>
            </w:r>
          </w:p>
        </w:tc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ind w:right="-1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4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Pre-Alpine Basement Evolution Between Alps and Iran: Significance for Western Tethys Evolution</w:t>
            </w:r>
          </w:p>
        </w:tc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5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The </w:t>
            </w:r>
            <w:proofErr w:type="spellStart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Paleotethys-Cimmeria</w:t>
            </w:r>
            <w:proofErr w:type="spellEnd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 Conundrum: Permian and Triassic Paleogeography and Geodynamics in the Southeast European Mountain Belts</w:t>
            </w:r>
          </w:p>
        </w:tc>
        <w:bookmarkStart w:id="0" w:name="_GoBack"/>
        <w:bookmarkEnd w:id="0"/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6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Magma Fertility Vectors and Hydrothermal Alteration Footprints Related to Mineralization Systems of the Carpathian-Balkan Area</w:t>
            </w:r>
          </w:p>
        </w:tc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ind w:right="-1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7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Critical Raw Materials: Mineralogy and Geochemistry of New and Unconventional Mineral Resources</w:t>
            </w:r>
          </w:p>
        </w:tc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8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Geodynamic, </w:t>
            </w:r>
            <w:proofErr w:type="spellStart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Metallogenic</w:t>
            </w:r>
            <w:proofErr w:type="spellEnd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 and Magmatic Evolution of the Central </w:t>
            </w:r>
            <w:proofErr w:type="spellStart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Tethyan</w:t>
            </w:r>
            <w:proofErr w:type="spellEnd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 Belt (</w:t>
            </w:r>
            <w:proofErr w:type="spellStart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Anatolides</w:t>
            </w:r>
            <w:proofErr w:type="spellEnd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-Caucasus-Iranian Belts)</w:t>
            </w:r>
          </w:p>
        </w:tc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ind w:right="-1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9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Novel Applied Geophysics</w:t>
            </w:r>
          </w:p>
        </w:tc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10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Application and Advances in Geochronology and </w:t>
            </w:r>
            <w:proofErr w:type="spellStart"/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Thermochronology</w:t>
            </w:r>
            <w:proofErr w:type="spellEnd"/>
          </w:p>
        </w:tc>
      </w:tr>
      <w:tr w:rsidR="00282B60" w:rsidRPr="006F0233" w:rsidTr="00AA6319"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4200C" w:rsidRPr="003535E4" w:rsidRDefault="0094200C" w:rsidP="00370D6D">
            <w:pPr>
              <w:spacing w:after="0" w:line="240" w:lineRule="auto"/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SS</w:t>
            </w:r>
            <w:r w:rsidRPr="003535E4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11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8F8F8"/>
            <w:vAlign w:val="center"/>
            <w:hideMark/>
          </w:tcPr>
          <w:p w:rsidR="0094200C" w:rsidRPr="003535E4" w:rsidRDefault="0094200C" w:rsidP="00AA6319">
            <w:pPr>
              <w:spacing w:after="0" w:line="240" w:lineRule="auto"/>
              <w:ind w:right="132"/>
              <w:rPr>
                <w:rFonts w:ascii="Arial" w:eastAsia="Times New Roman" w:hAnsi="Arial" w:cs="Arial"/>
                <w:color w:val="767171" w:themeColor="background2" w:themeShade="80"/>
                <w:sz w:val="18"/>
                <w:szCs w:val="18"/>
              </w:rPr>
            </w:pP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Geochemistry and </w:t>
            </w:r>
            <w:r w:rsidR="005E5D89"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>Hazardous</w:t>
            </w:r>
            <w:r w:rsidRPr="006F0233">
              <w:rPr>
                <w:rFonts w:ascii="Arial" w:eastAsia="Times New Roman" w:hAnsi="Arial" w:cs="Arial"/>
                <w:bCs/>
                <w:color w:val="767171" w:themeColor="background2" w:themeShade="80"/>
                <w:sz w:val="18"/>
                <w:szCs w:val="18"/>
              </w:rPr>
              <w:t xml:space="preserve"> Substances (HS) Evaluation in River Basins</w:t>
            </w:r>
          </w:p>
        </w:tc>
      </w:tr>
    </w:tbl>
    <w:p w:rsidR="00BF452E" w:rsidRPr="00282B60" w:rsidRDefault="00BF452E" w:rsidP="007E536C">
      <w:pPr>
        <w:spacing w:after="0" w:line="360" w:lineRule="atLeast"/>
        <w:jc w:val="both"/>
        <w:rPr>
          <w:rFonts w:ascii="Arial" w:eastAsia="Times New Roman" w:hAnsi="Arial" w:cs="Arial"/>
          <w:color w:val="767171" w:themeColor="background2" w:themeShade="80"/>
          <w:spacing w:val="12"/>
        </w:rPr>
        <w:sectPr w:rsidR="00BF452E" w:rsidRPr="00282B60" w:rsidSect="00370D6D">
          <w:type w:val="continuous"/>
          <w:pgSz w:w="11906" w:h="16838" w:code="9"/>
          <w:pgMar w:top="1134" w:right="707" w:bottom="1134" w:left="1134" w:header="720" w:footer="720" w:gutter="0"/>
          <w:cols w:num="2" w:space="993"/>
          <w:docGrid w:linePitch="360"/>
        </w:sectPr>
      </w:pPr>
    </w:p>
    <w:p w:rsidR="0027093A" w:rsidRPr="00F3623C" w:rsidRDefault="0027093A" w:rsidP="00F3623C">
      <w:pPr>
        <w:spacing w:after="0"/>
        <w:rPr>
          <w:rFonts w:ascii="Arial" w:eastAsia="Times New Roman" w:hAnsi="Arial" w:cs="Arial"/>
          <w:b/>
          <w:bCs/>
          <w:color w:val="767171" w:themeColor="background2" w:themeShade="80"/>
          <w:sz w:val="21"/>
          <w:szCs w:val="21"/>
        </w:rPr>
      </w:pPr>
      <w:r w:rsidRPr="00E73C61">
        <w:rPr>
          <w:rFonts w:ascii="Arial" w:eastAsia="Times New Roman" w:hAnsi="Arial" w:cs="Arial"/>
          <w:b/>
          <w:bCs/>
          <w:color w:val="767171" w:themeColor="background2" w:themeShade="80"/>
          <w:sz w:val="21"/>
          <w:szCs w:val="21"/>
        </w:rPr>
        <w:t>Early Bird Registration</w:t>
      </w:r>
      <w:r w:rsidRPr="00F3623C">
        <w:rPr>
          <w:rFonts w:ascii="Arial" w:eastAsia="Times New Roman" w:hAnsi="Arial" w:cs="Arial"/>
          <w:b/>
          <w:bCs/>
          <w:color w:val="767171" w:themeColor="background2" w:themeShade="80"/>
          <w:sz w:val="21"/>
          <w:szCs w:val="21"/>
        </w:rPr>
        <w:t xml:space="preserve"> </w:t>
      </w:r>
      <w:r w:rsidRPr="00E73C61">
        <w:rPr>
          <w:rFonts w:ascii="Arial" w:eastAsia="Times New Roman" w:hAnsi="Arial" w:cs="Arial"/>
          <w:b/>
          <w:bCs/>
          <w:color w:val="767171" w:themeColor="background2" w:themeShade="80"/>
          <w:sz w:val="21"/>
          <w:szCs w:val="21"/>
        </w:rPr>
        <w:t>(Before June 15, 2022)</w:t>
      </w:r>
    </w:p>
    <w:p w:rsidR="00AA6319" w:rsidRPr="00F3623C" w:rsidRDefault="0027093A" w:rsidP="00F3623C">
      <w:pPr>
        <w:spacing w:after="0"/>
        <w:rPr>
          <w:color w:val="767171" w:themeColor="background2" w:themeShade="80"/>
        </w:rPr>
      </w:pPr>
      <w:r w:rsidRPr="00F3623C">
        <w:rPr>
          <w:color w:val="767171" w:themeColor="background2" w:themeShade="80"/>
        </w:rPr>
        <w:t>Regular Participant: 180 € / 352 BGN; Student: 51 € / 100 BGN; Accompanying Person: 100€ / 196 BGN</w:t>
      </w:r>
    </w:p>
    <w:p w:rsidR="00F3623C" w:rsidRPr="00F3623C" w:rsidRDefault="00F3623C" w:rsidP="00F3623C">
      <w:pPr>
        <w:spacing w:after="0"/>
        <w:rPr>
          <w:rFonts w:ascii="Arial" w:eastAsia="Times New Roman" w:hAnsi="Arial" w:cs="Arial"/>
          <w:b/>
          <w:bCs/>
          <w:color w:val="767171" w:themeColor="background2" w:themeShade="80"/>
          <w:sz w:val="21"/>
          <w:szCs w:val="21"/>
        </w:rPr>
      </w:pPr>
      <w:r w:rsidRPr="00E73C61">
        <w:rPr>
          <w:rFonts w:ascii="Arial" w:eastAsia="Times New Roman" w:hAnsi="Arial" w:cs="Arial"/>
          <w:b/>
          <w:bCs/>
          <w:color w:val="767171" w:themeColor="background2" w:themeShade="80"/>
          <w:sz w:val="21"/>
          <w:szCs w:val="21"/>
        </w:rPr>
        <w:t>Standard Registration</w:t>
      </w:r>
    </w:p>
    <w:p w:rsidR="00F3623C" w:rsidRPr="00F3623C" w:rsidRDefault="00F3623C" w:rsidP="00F3623C">
      <w:pPr>
        <w:spacing w:after="0"/>
        <w:rPr>
          <w:color w:val="767171" w:themeColor="background2" w:themeShade="80"/>
        </w:rPr>
      </w:pPr>
      <w:r w:rsidRPr="00F3623C">
        <w:rPr>
          <w:color w:val="767171" w:themeColor="background2" w:themeShade="80"/>
        </w:rPr>
        <w:t>Regular Participant: 215 € / 420 BGN; Student: 80 € / 156 BGN; Accompanying Person: 100€ / 196 BGN</w:t>
      </w:r>
    </w:p>
    <w:sectPr w:rsidR="00F3623C" w:rsidRPr="00F3623C" w:rsidSect="00021079">
      <w:type w:val="continuous"/>
      <w:pgSz w:w="11906" w:h="16838" w:code="9"/>
      <w:pgMar w:top="1134" w:right="1134" w:bottom="1134" w:left="1134" w:header="720" w:footer="720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1C7"/>
    <w:rsid w:val="00021079"/>
    <w:rsid w:val="001D78EB"/>
    <w:rsid w:val="0027093A"/>
    <w:rsid w:val="00282B60"/>
    <w:rsid w:val="0029475B"/>
    <w:rsid w:val="00370D6D"/>
    <w:rsid w:val="003C26FD"/>
    <w:rsid w:val="003C7BF4"/>
    <w:rsid w:val="005346C8"/>
    <w:rsid w:val="005371C7"/>
    <w:rsid w:val="00550CD0"/>
    <w:rsid w:val="005919EB"/>
    <w:rsid w:val="005E5D89"/>
    <w:rsid w:val="006E609E"/>
    <w:rsid w:val="006F0233"/>
    <w:rsid w:val="00762C07"/>
    <w:rsid w:val="007E536C"/>
    <w:rsid w:val="00925604"/>
    <w:rsid w:val="0094200C"/>
    <w:rsid w:val="00972514"/>
    <w:rsid w:val="00AA6319"/>
    <w:rsid w:val="00BF452E"/>
    <w:rsid w:val="00D35933"/>
    <w:rsid w:val="00E2532E"/>
    <w:rsid w:val="00E41D3F"/>
    <w:rsid w:val="00EA78FB"/>
    <w:rsid w:val="00ED3345"/>
    <w:rsid w:val="00F3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14B396"/>
  <w15:chartTrackingRefBased/>
  <w15:docId w15:val="{DC863C35-D1C5-4D53-A8F0-06F2A0A5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71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359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bga2022.geology.bas.bg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2022-04-18T16:14:00Z</dcterms:created>
  <dcterms:modified xsi:type="dcterms:W3CDTF">2022-04-19T09:52:00Z</dcterms:modified>
</cp:coreProperties>
</file>